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E42E" w14:textId="72F5277D" w:rsidR="00BF74A1" w:rsidRPr="0058422B" w:rsidRDefault="00BF74A1" w:rsidP="00123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47F6812" w14:textId="77777777" w:rsidR="00BF74A1" w:rsidRPr="0058422B" w:rsidRDefault="00024543" w:rsidP="00CE44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422B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10" w:history="1">
        <w:r w:rsidR="0058422B" w:rsidRPr="0058422B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cvltrackaccess@amey.co.uk</w:t>
        </w:r>
      </w:hyperlink>
    </w:p>
    <w:p w14:paraId="776F2E92" w14:textId="77777777" w:rsidR="00BF74A1" w:rsidRPr="0058422B" w:rsidRDefault="00024543" w:rsidP="00CE44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422B">
        <w:rPr>
          <w:rFonts w:ascii="Arial" w:eastAsia="Times New Roman" w:hAnsi="Arial" w:cs="Arial"/>
          <w:sz w:val="24"/>
          <w:szCs w:val="24"/>
        </w:rPr>
        <w:t>Our Ref:</w:t>
      </w:r>
    </w:p>
    <w:p w14:paraId="7F5A9D88" w14:textId="77777777" w:rsidR="00BF74A1" w:rsidRPr="0058422B" w:rsidRDefault="00024543" w:rsidP="00CE44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422B">
        <w:rPr>
          <w:rFonts w:ascii="Arial" w:eastAsia="Times New Roman" w:hAnsi="Arial" w:cs="Arial"/>
          <w:sz w:val="24"/>
          <w:szCs w:val="24"/>
        </w:rPr>
        <w:t>Date:</w:t>
      </w:r>
    </w:p>
    <w:p w14:paraId="525A6C68" w14:textId="77777777" w:rsidR="00BF74A1" w:rsidRPr="0058422B" w:rsidRDefault="00024543" w:rsidP="00CE4494">
      <w:pPr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>Dear colleague</w:t>
      </w:r>
    </w:p>
    <w:p w14:paraId="71FDB150" w14:textId="77777777" w:rsidR="0058422B" w:rsidRPr="00F132AC" w:rsidRDefault="0058422B" w:rsidP="001237F8">
      <w:pPr>
        <w:jc w:val="both"/>
        <w:rPr>
          <w:rFonts w:ascii="Arial" w:hAnsi="Arial" w:cs="Arial"/>
          <w:color w:val="200C4C"/>
          <w:sz w:val="24"/>
          <w:szCs w:val="24"/>
        </w:rPr>
      </w:pPr>
    </w:p>
    <w:p w14:paraId="52476928" w14:textId="51A6D7D4" w:rsidR="0058422B" w:rsidRPr="00F132AC" w:rsidRDefault="00CE4494" w:rsidP="001237F8">
      <w:pPr>
        <w:jc w:val="both"/>
        <w:rPr>
          <w:rFonts w:ascii="Arial" w:hAnsi="Arial" w:cs="Arial"/>
          <w:b/>
          <w:bCs/>
          <w:color w:val="200C4C"/>
          <w:sz w:val="24"/>
          <w:szCs w:val="24"/>
        </w:rPr>
      </w:pPr>
      <w:r w:rsidRPr="00F132AC">
        <w:rPr>
          <w:rFonts w:ascii="Arial" w:hAnsi="Arial" w:cs="Arial"/>
          <w:b/>
          <w:bCs/>
          <w:color w:val="200C4C"/>
          <w:sz w:val="24"/>
          <w:szCs w:val="24"/>
        </w:rPr>
        <w:t xml:space="preserve">Seilwaith Amey Cymru /Amey Infrastructure Wales Ltd </w:t>
      </w:r>
      <w:r w:rsidR="0058422B" w:rsidRPr="00F132AC">
        <w:rPr>
          <w:rFonts w:ascii="Arial" w:hAnsi="Arial" w:cs="Arial"/>
          <w:b/>
          <w:bCs/>
          <w:color w:val="200C4C"/>
          <w:sz w:val="24"/>
          <w:szCs w:val="24"/>
        </w:rPr>
        <w:t>(“A</w:t>
      </w:r>
      <w:r w:rsidRPr="00F132AC">
        <w:rPr>
          <w:rFonts w:ascii="Arial" w:hAnsi="Arial" w:cs="Arial"/>
          <w:b/>
          <w:bCs/>
          <w:color w:val="200C4C"/>
          <w:sz w:val="24"/>
          <w:szCs w:val="24"/>
        </w:rPr>
        <w:t>IW</w:t>
      </w:r>
      <w:r w:rsidR="0058422B" w:rsidRPr="00F132AC">
        <w:rPr>
          <w:rFonts w:ascii="Arial" w:hAnsi="Arial" w:cs="Arial"/>
          <w:b/>
          <w:bCs/>
          <w:color w:val="200C4C"/>
          <w:sz w:val="24"/>
          <w:szCs w:val="24"/>
        </w:rPr>
        <w:t>”) rejection of proposed Core Valley Lines (“CVL”) Vehicle Change</w:t>
      </w:r>
    </w:p>
    <w:p w14:paraId="67B3AA82" w14:textId="2C883A9B" w:rsidR="0058422B" w:rsidRPr="00F132AC" w:rsidRDefault="0058422B" w:rsidP="001237F8">
      <w:pPr>
        <w:jc w:val="both"/>
        <w:rPr>
          <w:rFonts w:ascii="Arial" w:hAnsi="Arial" w:cs="Arial"/>
          <w:b/>
          <w:bCs/>
          <w:color w:val="200C4C"/>
          <w:sz w:val="24"/>
          <w:szCs w:val="24"/>
        </w:rPr>
      </w:pPr>
      <w:r w:rsidRPr="00F132AC">
        <w:rPr>
          <w:rFonts w:ascii="Arial" w:hAnsi="Arial" w:cs="Arial"/>
          <w:b/>
          <w:bCs/>
          <w:color w:val="200C4C"/>
          <w:sz w:val="24"/>
          <w:szCs w:val="24"/>
        </w:rPr>
        <w:t>(TOC/ Class of Train)</w:t>
      </w:r>
    </w:p>
    <w:p w14:paraId="2BA51A54" w14:textId="77777777" w:rsidR="0058422B" w:rsidRPr="00F132AC" w:rsidRDefault="0058422B" w:rsidP="001237F8">
      <w:pPr>
        <w:jc w:val="both"/>
        <w:rPr>
          <w:rFonts w:ascii="Arial" w:hAnsi="Arial" w:cs="Arial"/>
          <w:b/>
          <w:bCs/>
          <w:color w:val="200C4C"/>
          <w:sz w:val="24"/>
          <w:szCs w:val="24"/>
        </w:rPr>
      </w:pPr>
      <w:r w:rsidRPr="00F132AC">
        <w:rPr>
          <w:rFonts w:ascii="Arial" w:hAnsi="Arial" w:cs="Arial"/>
          <w:b/>
          <w:bCs/>
          <w:color w:val="200C4C"/>
          <w:sz w:val="24"/>
          <w:szCs w:val="24"/>
        </w:rPr>
        <w:t>(Description of Change)</w:t>
      </w:r>
    </w:p>
    <w:p w14:paraId="4763407B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46BAA687" w14:textId="7526268E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With reference to the CVL Vehicle Change notice issued by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on behalf of [Insert sponsor’s name] on [insert date] in relation to the proposed change to [insert description of change], this letter constitutes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>’s formal response under Condition F3 of the CVL Network Code.</w:t>
      </w:r>
    </w:p>
    <w:p w14:paraId="01935998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0CE0D9D0" w14:textId="0A27C8C0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In light of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’s own assessment of the proposed CVL Vehicle Change and the feedback received from Train Operators consulted during the formal consultation,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considers that the proposed CVL Vehicle Change satisfies the condition outlined in [delete those options not applicable and retain the applicable response(s)]</w:t>
      </w:r>
    </w:p>
    <w:p w14:paraId="2910BFE1" w14:textId="4504F9E6" w:rsidR="0058422B" w:rsidRPr="0058422B" w:rsidRDefault="0058422B" w:rsidP="001237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Condition F3.1(a)(i) in that it would necessarily result in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breaching an access contract with another train operator.  As such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objects formally to the change being made;</w:t>
      </w:r>
    </w:p>
    <w:p w14:paraId="029DEC60" w14:textId="263CB4C9" w:rsidR="0058422B" w:rsidRPr="0058422B" w:rsidRDefault="0058422B" w:rsidP="001237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Condition F3.1(a)(ii) in that [insert Sponsor name] has failed in a material respect to comply with its obligations under Condition F2 (despite being given a reasonable opportunity to remedy that failure).  As such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objects formally to the change being made;</w:t>
      </w:r>
    </w:p>
    <w:p w14:paraId="7F81E198" w14:textId="7B7DC8BB" w:rsidR="0058422B" w:rsidRPr="0058422B" w:rsidRDefault="0058422B" w:rsidP="001237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Condition F3.1(a)(iii) in that, if implemented, it would result in a material adverse effect on [the maintenance or operation of the CVL Network] [or] [the operation of one or more trains on the CVL Network] [delete if not applicable] which cannot adequately be compensated for under Condition F3.  As such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objects formally to the change being made.</w:t>
      </w:r>
    </w:p>
    <w:p w14:paraId="096EAE06" w14:textId="77777777" w:rsid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8BE3EB" w14:textId="77777777" w:rsidR="00CE4494" w:rsidRDefault="00CE4494" w:rsidP="001237F8">
      <w:pPr>
        <w:jc w:val="both"/>
        <w:rPr>
          <w:rFonts w:ascii="Arial" w:hAnsi="Arial" w:cs="Arial"/>
          <w:sz w:val="24"/>
          <w:szCs w:val="24"/>
        </w:rPr>
      </w:pPr>
    </w:p>
    <w:p w14:paraId="4ECB194F" w14:textId="77777777" w:rsidR="00CE4494" w:rsidRDefault="00CE4494" w:rsidP="001237F8">
      <w:pPr>
        <w:jc w:val="both"/>
        <w:rPr>
          <w:rFonts w:ascii="Arial" w:hAnsi="Arial" w:cs="Arial"/>
          <w:sz w:val="24"/>
          <w:szCs w:val="24"/>
        </w:rPr>
      </w:pPr>
    </w:p>
    <w:p w14:paraId="05E90F0A" w14:textId="31B38391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>Our reasons for the above response are as follows:</w:t>
      </w:r>
    </w:p>
    <w:p w14:paraId="58F2A056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6EFDFBCD" w14:textId="19A0A4E5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[insert reasons for the response from both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and other affected operators as appropriate]</w:t>
      </w:r>
    </w:p>
    <w:p w14:paraId="20B1CB48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5FD03A88" w14:textId="152EAC28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[insert any additional comments relevant to taking this proposal forward </w:t>
      </w:r>
      <w:r w:rsidR="00CE4494" w:rsidRPr="0058422B">
        <w:rPr>
          <w:rFonts w:ascii="Arial" w:hAnsi="Arial" w:cs="Arial"/>
          <w:sz w:val="24"/>
          <w:szCs w:val="24"/>
        </w:rPr>
        <w:t>e.g.,</w:t>
      </w:r>
      <w:r w:rsidRPr="0058422B">
        <w:rPr>
          <w:rFonts w:ascii="Arial" w:hAnsi="Arial" w:cs="Arial"/>
          <w:sz w:val="24"/>
          <w:szCs w:val="24"/>
        </w:rPr>
        <w:t xml:space="preserve"> probability of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/ other operators accepting the change if certain changes are made etc.  If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has, by way of completing this form, rejected the CVL Vehicle Change either on its own behalf and/or on behalf of a TOC, and a rejecting party wishes to reserve the right to claim compensation for the change under F3.1(c) or F3.1(d) if it goes ahead, this should be made clear here.]</w:t>
      </w:r>
    </w:p>
    <w:p w14:paraId="52626825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24422D22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>Yours sincerely,</w:t>
      </w:r>
    </w:p>
    <w:p w14:paraId="19CA3517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7D636E9F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6A97BD99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5A518FE4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47DF47C0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3AA57545" w14:textId="5BD062DF" w:rsidR="00820DA4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>Sender’s name</w:t>
      </w:r>
    </w:p>
    <w:sectPr w:rsidR="00820DA4" w:rsidRPr="0058422B" w:rsidSect="00F13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FC3D" w14:textId="77777777" w:rsidR="000D67E6" w:rsidRDefault="000D67E6" w:rsidP="0058422B">
      <w:pPr>
        <w:spacing w:after="0" w:line="240" w:lineRule="auto"/>
      </w:pPr>
      <w:r>
        <w:separator/>
      </w:r>
    </w:p>
  </w:endnote>
  <w:endnote w:type="continuationSeparator" w:id="0">
    <w:p w14:paraId="7BD8A6FF" w14:textId="77777777" w:rsidR="000D67E6" w:rsidRDefault="000D67E6" w:rsidP="0058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720F" w14:textId="77777777" w:rsidR="00F132AC" w:rsidRDefault="00F13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5495" w14:textId="313092C2" w:rsidR="00CE4494" w:rsidRDefault="00BF74A1" w:rsidP="00CE4494">
    <w:pPr>
      <w:pStyle w:val="Foo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09077" wp14:editId="58E7FF18">
          <wp:simplePos x="0" y="0"/>
          <wp:positionH relativeFrom="column">
            <wp:posOffset>-923925</wp:posOffset>
          </wp:positionH>
          <wp:positionV relativeFrom="paragraph">
            <wp:posOffset>-302260</wp:posOffset>
          </wp:positionV>
          <wp:extent cx="7559675" cy="1423670"/>
          <wp:effectExtent l="0" t="0" r="0" b="0"/>
          <wp:wrapNone/>
          <wp:docPr id="503625691" name="Picture 503625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625691" name="Picture 50362569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57027" wp14:editId="045F590D">
              <wp:simplePos x="0" y="0"/>
              <wp:positionH relativeFrom="column">
                <wp:posOffset>-361950</wp:posOffset>
              </wp:positionH>
              <wp:positionV relativeFrom="paragraph">
                <wp:posOffset>193040</wp:posOffset>
              </wp:positionV>
              <wp:extent cx="5610225" cy="438150"/>
              <wp:effectExtent l="0" t="0" r="0" b="0"/>
              <wp:wrapNone/>
              <wp:docPr id="79431452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D672DC" w14:textId="77777777" w:rsidR="00BF74A1" w:rsidRPr="00D45D2D" w:rsidRDefault="00BF74A1" w:rsidP="00BF74A1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5D2D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en-US" w:eastAsia="en-GB"/>
                            </w:rPr>
      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957027" id="Rectangle 1" o:spid="_x0000_s1026" style="position:absolute;margin-left:-28.5pt;margin-top:15.2pt;width:441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41cQIAAEEFAAAOAAAAZHJzL2Uyb0RvYy54bWysVE1v2zAMvQ/YfxB0X21nSdcFdYqgRYcB&#10;RVesHXpWZKk2IIsapcTOfv0o2XG6tthh2MWm+PFIPpE6v+hbw3YKfQO25MVJzpmyEqrGPpX8x8P1&#10;hzPOfBC2EgasKvleeX6xev/uvHNLNYMaTKWQEYj1y86VvA7BLbPMy1q1wp+AU5aMGrAVgY74lFUo&#10;OkJvTTbL89OsA6wcglTek/ZqMPJVwtdayfBNa68CMyWn2kL6Yvpu4jdbnYvlEwpXN3IsQ/xDFa1o&#10;LCWdoK5EEGyLzSuotpEIHnQ4kdBmoHUjVeqBuinyF93c18Kp1AuR491Ek/9/sPJ2d+/ukGjonF96&#10;EmMXvcY2/qk+1iey9hNZqg9MknJxWuSz2YIzSbb5x7NikdjMjtEOffiioGVRKDnSZSSOxO7GB8pI&#10;rgeXmMzCdWNMuhBj/1CQY9RkxxKTFPZGRT9jvyvNmoqKmqUEaXrUpUG2E3TvQkplQzGYalGpQU0F&#10;54eSp4hUVQKMyJoKmrBHgDiZr7GHdkb/GKrS8E3B+d8KG4KniJQZbJiC28YCvgVgqKsx8+B/IGmg&#10;JrIU+k1PLlHcQLW/Q4YwbIF38rqhm7kRPtwJpLGnBaFVDt/oow10JYdR4qwG/PWWPvrTNJKVs47W&#10;qOT+51ag4sx8tTSnn4v5PO5dOswXn2Z0wOeWzXOL3baXQDdW0KPhZBKjfzAHUSO0j7Tx65iVTMJK&#10;yl1yGfBwuAzDetObIdV6ndxo15wIN/beyQgeCY6T99A/CnTjeAYa7Fs4rJxYvpjSwTdGWlhvA+gm&#10;jfCR15F62tM0Q+ObEh+C5+fkdXz5Vr8BAAD//wMAUEsDBBQABgAIAAAAIQC+FH9o3wAAAAkBAAAP&#10;AAAAZHJzL2Rvd25yZXYueG1sTI/NTsMwEITvSLyDtUjcWofSljRkUwESQqgHRIG7Y2+TiHgdxc5P&#10;3x5zguNoRjPf5PvZtmKk3jeOEW6WCQhi7UzDFcLnx/MiBeGDYqNax4RwJg/74vIiV5lxE7/TeAyV&#10;iCXsM4VQh9BlUnpdk1V+6Tri6J1cb1WIsq+k6dUUy20rV0mylVY1HBdq1dFTTfr7OFiEL3d6nKwu&#10;+XU8vzXDy6HXOj0gXl/ND/cgAs3hLwy/+BEdishUuoGNFy3CYnMXvwSE22QNIgbS1XYDokTY7dYg&#10;i1z+f1D8AAAA//8DAFBLAQItABQABgAIAAAAIQC2gziS/gAAAOEBAAATAAAAAAAAAAAAAAAAAAAA&#10;AABbQ29udGVudF9UeXBlc10ueG1sUEsBAi0AFAAGAAgAAAAhADj9If/WAAAAlAEAAAsAAAAAAAAA&#10;AAAAAAAALwEAAF9yZWxzLy5yZWxzUEsBAi0AFAAGAAgAAAAhACX4bjVxAgAAQQUAAA4AAAAAAAAA&#10;AAAAAAAALgIAAGRycy9lMm9Eb2MueG1sUEsBAi0AFAAGAAgAAAAhAL4Uf2jfAAAACQEAAA8AAAAA&#10;AAAAAAAAAAAAywQAAGRycy9kb3ducmV2LnhtbFBLBQYAAAAABAAEAPMAAADXBQAAAAA=&#10;" filled="f" stroked="f" strokeweight="1pt">
              <v:textbox>
                <w:txbxContent>
                  <w:p w14:paraId="7FD672DC" w14:textId="77777777" w:rsidR="00BF74A1" w:rsidRPr="00D45D2D" w:rsidRDefault="00BF74A1" w:rsidP="00BF74A1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5D2D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en-US" w:eastAsia="en-GB"/>
                      </w:rPr>
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EAEC8C8" wp14:editId="7A901415">
          <wp:simplePos x="0" y="0"/>
          <wp:positionH relativeFrom="column">
            <wp:posOffset>5667375</wp:posOffset>
          </wp:positionH>
          <wp:positionV relativeFrom="paragraph">
            <wp:posOffset>202565</wp:posOffset>
          </wp:positionV>
          <wp:extent cx="738505" cy="397510"/>
          <wp:effectExtent l="0" t="0" r="0" b="0"/>
          <wp:wrapNone/>
          <wp:docPr id="134065940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65940" name="Picture 134065940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D1BEC8" w14:textId="77777777" w:rsidR="00CE4494" w:rsidRDefault="00CE4494" w:rsidP="00CE4494">
    <w:pPr>
      <w:pStyle w:val="Footer"/>
      <w:rPr>
        <w:rFonts w:ascii="Times New Roman" w:hAnsi="Times New Roman" w:cs="Times New Roman"/>
      </w:rPr>
    </w:pPr>
  </w:p>
  <w:p w14:paraId="4A9CEFC5" w14:textId="0EB564A8" w:rsidR="0058422B" w:rsidRPr="00CE4494" w:rsidRDefault="0058422B" w:rsidP="00CE4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F94C" w14:textId="77777777" w:rsidR="00F132AC" w:rsidRDefault="00F1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36CB" w14:textId="77777777" w:rsidR="000D67E6" w:rsidRDefault="000D67E6" w:rsidP="0058422B">
      <w:pPr>
        <w:spacing w:after="0" w:line="240" w:lineRule="auto"/>
      </w:pPr>
      <w:r>
        <w:separator/>
      </w:r>
    </w:p>
  </w:footnote>
  <w:footnote w:type="continuationSeparator" w:id="0">
    <w:p w14:paraId="287E2CCF" w14:textId="77777777" w:rsidR="000D67E6" w:rsidRDefault="000D67E6" w:rsidP="0058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D6C6" w14:textId="77777777" w:rsidR="00F132AC" w:rsidRDefault="00F13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DDC7" w14:textId="2539D0CB" w:rsidR="00CE4494" w:rsidRDefault="00F132AC" w:rsidP="00CE4494">
    <w:pPr>
      <w:pStyle w:val="Header"/>
      <w:jc w:val="right"/>
    </w:pPr>
    <w:r w:rsidRPr="009477A3">
      <w:rPr>
        <w:noProof/>
      </w:rPr>
      <w:drawing>
        <wp:inline distT="0" distB="0" distL="0" distR="0" wp14:anchorId="360BAF13" wp14:editId="79482FA2">
          <wp:extent cx="1439545" cy="496570"/>
          <wp:effectExtent l="0" t="0" r="8255" b="0"/>
          <wp:docPr id="455648246" name="Picture 455648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648246" name="Picture 455648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3D249" w14:textId="77777777" w:rsidR="00CE4494" w:rsidRDefault="00CE4494" w:rsidP="00CE4494">
    <w:pPr>
      <w:pStyle w:val="Header"/>
      <w:jc w:val="right"/>
    </w:pPr>
  </w:p>
  <w:p w14:paraId="08837DE4" w14:textId="42F5162E" w:rsidR="0058422B" w:rsidRDefault="0058422B" w:rsidP="0058422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AE48" w14:textId="77777777" w:rsidR="00F132AC" w:rsidRDefault="00F13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4FFD"/>
    <w:multiLevelType w:val="hybridMultilevel"/>
    <w:tmpl w:val="B7C82428"/>
    <w:lvl w:ilvl="0" w:tplc="0DBE90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B3B"/>
    <w:multiLevelType w:val="hybridMultilevel"/>
    <w:tmpl w:val="71BA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833634">
    <w:abstractNumId w:val="1"/>
  </w:num>
  <w:num w:numId="2" w16cid:durableId="18877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2B"/>
    <w:rsid w:val="00024543"/>
    <w:rsid w:val="000D67E6"/>
    <w:rsid w:val="001237F8"/>
    <w:rsid w:val="0058422B"/>
    <w:rsid w:val="00820DA4"/>
    <w:rsid w:val="00A12CD4"/>
    <w:rsid w:val="00BF74A1"/>
    <w:rsid w:val="00CE4494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4BEAF"/>
  <w15:chartTrackingRefBased/>
  <w15:docId w15:val="{A595ECAF-B6F4-4660-90B4-E1B8E31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2B"/>
  </w:style>
  <w:style w:type="paragraph" w:styleId="Footer">
    <w:name w:val="footer"/>
    <w:basedOn w:val="Normal"/>
    <w:link w:val="FooterChar"/>
    <w:uiPriority w:val="99"/>
    <w:unhideWhenUsed/>
    <w:rsid w:val="0058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2B"/>
  </w:style>
  <w:style w:type="paragraph" w:customStyle="1" w:styleId="xmsonormal">
    <w:name w:val="x_msonormal"/>
    <w:basedOn w:val="Normal"/>
    <w:rsid w:val="00CE449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vltrackaccess@am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c2dd5-4a5f-4643-8b6c-7681e8127688" xsi:nil="true"/>
    <lcf76f155ced4ddcb4097134ff3c332f xmlns="3062a9e9-f5ac-404e-a65f-98b463d966a7">
      <Terms xmlns="http://schemas.microsoft.com/office/infopath/2007/PartnerControls"/>
    </lcf76f155ced4ddcb4097134ff3c332f>
    <Year xmlns="3062a9e9-f5ac-404e-a65f-98b463d966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8" ma:contentTypeDescription="Create a new document." ma:contentTypeScope="" ma:versionID="7f6343ad78e28c9c7f24d0bb02fc7dee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b9ecff381ce9c62a996788f2db0ca5c0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ar" ma:index="21" nillable="true" ma:displayName="Year" ma:format="Dropdown" ma:internalName="Year">
      <xsd:simpleType>
        <xsd:restriction base="dms:Choice">
          <xsd:enumeration value="2022-23"/>
          <xsd:enumeration value="2021-22"/>
          <xsd:enumeration value="2020-21"/>
          <xsd:enumeration value="2023-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1439a4-7dbe-423c-9a39-e952279af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f569b-cabb-4296-9577-f8c2483aff9a}" ma:internalName="TaxCatchAll" ma:showField="CatchAllData" ma:web="3eac2dd5-4a5f-4643-8b6c-7681e8127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31DEE-08BE-4A23-ABE3-55C2EE05B7BC}">
  <ds:schemaRefs>
    <ds:schemaRef ds:uri="http://schemas.microsoft.com/office/2006/documentManagement/types"/>
    <ds:schemaRef ds:uri="http://purl.org/dc/elements/1.1/"/>
    <ds:schemaRef ds:uri="3062a9e9-f5ac-404e-a65f-98b463d966a7"/>
    <ds:schemaRef ds:uri="3eac2dd5-4a5f-4643-8b6c-7681e812768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A73227-33E4-4EDB-B037-38EEC2D69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03F3-9A8C-4E5B-8C08-E5C9E8F49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Rowe</dc:creator>
  <cp:keywords/>
  <dc:description/>
  <cp:lastModifiedBy>Morgan, Emily</cp:lastModifiedBy>
  <cp:revision>4</cp:revision>
  <dcterms:created xsi:type="dcterms:W3CDTF">2021-04-15T13:35:00Z</dcterms:created>
  <dcterms:modified xsi:type="dcterms:W3CDTF">2023-10-30T12:52:00Z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  <property fmtid="{D5CDD505-2E9C-101B-9397-08002B2CF9AE}" pid="3" name="MediaServiceImageTags">
    <vt:lpwstr/>
  </property>
</Properties>
</file>