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3E8768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870E4">
        <w:rPr>
          <w:rStyle w:val="normaltextrun"/>
          <w:rFonts w:ascii="Calibri" w:hAnsi="Calibri" w:cs="Calibri"/>
          <w:sz w:val="22"/>
          <w:szCs w:val="22"/>
        </w:rPr>
        <w:t>15</w:t>
      </w:r>
      <w:r w:rsidR="008870E4" w:rsidRPr="008870E4">
        <w:rPr>
          <w:rStyle w:val="normaltextrun"/>
          <w:rFonts w:ascii="Calibri" w:hAnsi="Calibri" w:cs="Calibri"/>
          <w:sz w:val="22"/>
          <w:szCs w:val="22"/>
          <w:vertAlign w:val="superscript"/>
        </w:rPr>
        <w:t>th</w:t>
      </w:r>
      <w:r w:rsidR="008870E4">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D0D481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8870E4">
        <w:rPr>
          <w:rStyle w:val="eop"/>
          <w:rFonts w:ascii="&amp;quot" w:hAnsi="&amp;quot"/>
          <w:color w:val="FF0000"/>
          <w:sz w:val="26"/>
          <w:szCs w:val="28"/>
        </w:rPr>
        <w:t>285/23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83F62E2" w14:textId="77777777" w:rsidR="008870E4" w:rsidRDefault="008870E4"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1DB2A0" w14:textId="77777777" w:rsidR="008870E4" w:rsidRPr="008870E4" w:rsidRDefault="008870E4" w:rsidP="008870E4">
      <w:pPr>
        <w:pStyle w:val="p1"/>
        <w:spacing w:before="0" w:beforeAutospacing="0" w:after="0" w:afterAutospacing="0"/>
        <w:rPr>
          <w:rFonts w:asciiTheme="minorHAnsi" w:hAnsiTheme="minorHAnsi" w:cstheme="minorHAnsi"/>
          <w:b/>
          <w:bCs/>
          <w:sz w:val="22"/>
          <w:szCs w:val="22"/>
        </w:rPr>
      </w:pPr>
      <w:r w:rsidRPr="008870E4">
        <w:rPr>
          <w:rStyle w:val="s1"/>
          <w:rFonts w:asciiTheme="minorHAnsi" w:hAnsiTheme="minorHAnsi" w:cstheme="minorHAnsi"/>
          <w:b/>
          <w:bCs/>
          <w:sz w:val="22"/>
          <w:szCs w:val="22"/>
        </w:rPr>
        <w:t>1a) How many refunds have been issued for single and return train tickets over the period? Please provide the figures under the following categories (minutes): 15-29, 30-59, 60-119, 120 minutes or longer.</w:t>
      </w:r>
    </w:p>
    <w:p w14:paraId="435A7340" w14:textId="77777777" w:rsidR="008870E4" w:rsidRPr="008870E4" w:rsidRDefault="008870E4" w:rsidP="008870E4">
      <w:pPr>
        <w:pStyle w:val="p1"/>
        <w:spacing w:before="0" w:beforeAutospacing="0" w:after="0" w:afterAutospacing="0"/>
        <w:rPr>
          <w:rFonts w:asciiTheme="minorHAnsi" w:hAnsiTheme="minorHAnsi" w:cstheme="minorHAnsi"/>
          <w:b/>
          <w:bCs/>
          <w:sz w:val="22"/>
          <w:szCs w:val="22"/>
        </w:rPr>
      </w:pPr>
      <w:r w:rsidRPr="008870E4">
        <w:rPr>
          <w:rFonts w:asciiTheme="minorHAnsi" w:hAnsiTheme="minorHAnsi" w:cstheme="minorHAnsi"/>
          <w:b/>
          <w:bCs/>
          <w:sz w:val="22"/>
          <w:szCs w:val="22"/>
        </w:rPr>
        <w:br/>
      </w:r>
      <w:r w:rsidRPr="008870E4">
        <w:rPr>
          <w:rStyle w:val="s1"/>
          <w:rFonts w:asciiTheme="minorHAnsi" w:hAnsiTheme="minorHAnsi" w:cstheme="minorHAnsi"/>
          <w:b/>
          <w:bCs/>
          <w:sz w:val="22"/>
          <w:szCs w:val="22"/>
        </w:rPr>
        <w:t xml:space="preserve">b) How much compensation has been refunded for delayed train services over the </w:t>
      </w:r>
      <w:proofErr w:type="gramStart"/>
      <w:r w:rsidRPr="008870E4">
        <w:rPr>
          <w:rStyle w:val="s1"/>
          <w:rFonts w:asciiTheme="minorHAnsi" w:hAnsiTheme="minorHAnsi" w:cstheme="minorHAnsi"/>
          <w:b/>
          <w:bCs/>
          <w:sz w:val="22"/>
          <w:szCs w:val="22"/>
        </w:rPr>
        <w:t>five year</w:t>
      </w:r>
      <w:proofErr w:type="gramEnd"/>
      <w:r w:rsidRPr="008870E4">
        <w:rPr>
          <w:rStyle w:val="s1"/>
          <w:rFonts w:asciiTheme="minorHAnsi" w:hAnsiTheme="minorHAnsi" w:cstheme="minorHAnsi"/>
          <w:b/>
          <w:bCs/>
          <w:sz w:val="22"/>
          <w:szCs w:val="22"/>
        </w:rPr>
        <w:t xml:space="preserve"> period? Please provide the figures in GBP (£).</w:t>
      </w:r>
      <w:r w:rsidRPr="008870E4">
        <w:rPr>
          <w:rStyle w:val="apple-converted-space"/>
          <w:rFonts w:asciiTheme="minorHAnsi" w:hAnsiTheme="minorHAnsi" w:cstheme="minorHAnsi"/>
          <w:b/>
          <w:bCs/>
          <w:sz w:val="22"/>
          <w:szCs w:val="22"/>
        </w:rPr>
        <w:t> </w:t>
      </w:r>
      <w:r w:rsidRPr="008870E4">
        <w:rPr>
          <w:rFonts w:asciiTheme="minorHAnsi" w:hAnsiTheme="minorHAnsi" w:cstheme="minorHAnsi"/>
          <w:b/>
          <w:bCs/>
          <w:sz w:val="22"/>
          <w:szCs w:val="22"/>
        </w:rPr>
        <w:br/>
      </w:r>
      <w:r w:rsidRPr="008870E4">
        <w:rPr>
          <w:rFonts w:asciiTheme="minorHAnsi" w:hAnsiTheme="minorHAnsi" w:cstheme="minorHAnsi"/>
          <w:b/>
          <w:bCs/>
          <w:sz w:val="22"/>
          <w:szCs w:val="22"/>
        </w:rPr>
        <w:br/>
      </w:r>
      <w:r w:rsidRPr="008870E4">
        <w:rPr>
          <w:rStyle w:val="s1"/>
          <w:rFonts w:asciiTheme="minorHAnsi" w:hAnsiTheme="minorHAnsi" w:cstheme="minorHAnsi"/>
          <w:b/>
          <w:bCs/>
          <w:sz w:val="22"/>
          <w:szCs w:val="22"/>
        </w:rPr>
        <w:t>2) How many rail journeys have been substituted by rail replacement buses over the period?</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0428FC38" w14:textId="77777777" w:rsidR="008870E4" w:rsidRDefault="008870E4" w:rsidP="00962DA6">
      <w:pPr>
        <w:spacing w:after="0"/>
        <w:rPr>
          <w:rFonts w:cstheme="minorHAnsi"/>
          <w:b/>
          <w:bCs/>
        </w:rPr>
      </w:pPr>
    </w:p>
    <w:p w14:paraId="0E24A1C4" w14:textId="3F6F0FCC" w:rsidR="008870E4" w:rsidRPr="00256E56" w:rsidRDefault="008870E4" w:rsidP="008870E4">
      <w:pPr>
        <w:rPr>
          <w:rFonts w:cstheme="minorHAnsi"/>
        </w:rPr>
      </w:pPr>
      <w:r>
        <w:rPr>
          <w:rFonts w:cstheme="minorHAnsi"/>
        </w:rPr>
        <w:t xml:space="preserve">In relation to questions </w:t>
      </w:r>
      <w:r>
        <w:rPr>
          <w:rFonts w:cstheme="minorHAnsi"/>
        </w:rPr>
        <w:t>2</w:t>
      </w:r>
      <w:r>
        <w:rPr>
          <w:rFonts w:cstheme="minorHAnsi"/>
        </w:rPr>
        <w:t xml:space="preserve"> of your request, y</w:t>
      </w:r>
      <w:r>
        <w:t>our request for information has now been considered and we are not obliged to supply the information you have requested.</w:t>
      </w:r>
    </w:p>
    <w:p w14:paraId="2E5EA5A2" w14:textId="77777777" w:rsidR="008870E4" w:rsidRDefault="008870E4" w:rsidP="008870E4">
      <w:r>
        <w:t xml:space="preserve">In relation to your </w:t>
      </w:r>
      <w:proofErr w:type="gramStart"/>
      <w:r>
        <w:t>particular request</w:t>
      </w:r>
      <w:proofErr w:type="gramEnd"/>
      <w:r>
        <w:t>, the following exemption applies:</w:t>
      </w:r>
    </w:p>
    <w:p w14:paraId="000511FF" w14:textId="77777777" w:rsidR="008870E4" w:rsidRDefault="008870E4" w:rsidP="008870E4">
      <w:r>
        <w:t>Section 12 – Exemption where the cost of compliance exceeds the appropriate limit.</w:t>
      </w:r>
    </w:p>
    <w:p w14:paraId="18B25D6D" w14:textId="77777777" w:rsidR="007A5279" w:rsidRDefault="007A5279" w:rsidP="007A5279">
      <w:pPr>
        <w:pStyle w:val="ListParagraph"/>
        <w:numPr>
          <w:ilvl w:val="0"/>
          <w:numId w:val="11"/>
        </w:numPr>
        <w:rPr>
          <w:rStyle w:val="ui-provider"/>
          <w:rFonts w:eastAsia="Times New Roman"/>
        </w:rPr>
      </w:pPr>
      <w:r>
        <w:rPr>
          <w:rStyle w:val="ui-provider"/>
          <w:rFonts w:eastAsia="Times New Roman"/>
        </w:rPr>
        <w:t xml:space="preserve">This crosses three different TOC’s (Arriva Trains Wales, </w:t>
      </w:r>
      <w:proofErr w:type="spellStart"/>
      <w:r>
        <w:rPr>
          <w:rStyle w:val="ui-provider"/>
          <w:rFonts w:eastAsia="Times New Roman"/>
        </w:rPr>
        <w:t>KeolisAmey</w:t>
      </w:r>
      <w:proofErr w:type="spellEnd"/>
      <w:r>
        <w:rPr>
          <w:rStyle w:val="ui-provider"/>
          <w:rFonts w:eastAsia="Times New Roman"/>
        </w:rPr>
        <w:t xml:space="preserve"> Operations Ltd, Transport for Wales Rail Ltd)</w:t>
      </w:r>
    </w:p>
    <w:p w14:paraId="0DB6DC0B" w14:textId="77777777" w:rsidR="007A5279" w:rsidRDefault="007A5279" w:rsidP="007A5279">
      <w:pPr>
        <w:pStyle w:val="ListParagraph"/>
        <w:numPr>
          <w:ilvl w:val="0"/>
          <w:numId w:val="11"/>
        </w:numPr>
        <w:rPr>
          <w:rStyle w:val="ui-provider"/>
          <w:rFonts w:eastAsia="Times New Roman"/>
        </w:rPr>
      </w:pPr>
      <w:r>
        <w:rPr>
          <w:rStyle w:val="ui-provider"/>
          <w:rFonts w:eastAsia="Times New Roman"/>
        </w:rPr>
        <w:t>It crosses two different rail replacement contracts from 3 different suppliers (Arriva UK Trains, CMAC, Abellio / Transport UK</w:t>
      </w:r>
    </w:p>
    <w:p w14:paraId="3B244360" w14:textId="18251DC5" w:rsidR="007A5279" w:rsidRDefault="007A5279" w:rsidP="007A5279">
      <w:pPr>
        <w:pStyle w:val="ListParagraph"/>
        <w:numPr>
          <w:ilvl w:val="0"/>
          <w:numId w:val="11"/>
        </w:numPr>
        <w:rPr>
          <w:rStyle w:val="ui-provider"/>
          <w:rFonts w:eastAsia="Times New Roman"/>
        </w:rPr>
      </w:pPr>
      <w:r>
        <w:rPr>
          <w:rStyle w:val="ui-provider"/>
          <w:rFonts w:eastAsia="Times New Roman"/>
        </w:rPr>
        <w:t xml:space="preserve">The request </w:t>
      </w:r>
      <w:r>
        <w:rPr>
          <w:rStyle w:val="ui-provider"/>
          <w:rFonts w:eastAsia="Times New Roman"/>
        </w:rPr>
        <w:t xml:space="preserve">specifically </w:t>
      </w:r>
      <w:proofErr w:type="gramStart"/>
      <w:r>
        <w:rPr>
          <w:rStyle w:val="ui-provider"/>
          <w:rFonts w:eastAsia="Times New Roman"/>
        </w:rPr>
        <w:t>asks</w:t>
      </w:r>
      <w:proofErr w:type="gramEnd"/>
      <w:r>
        <w:rPr>
          <w:rStyle w:val="ui-provider"/>
          <w:rFonts w:eastAsia="Times New Roman"/>
        </w:rPr>
        <w:t xml:space="preserve"> “how many journeys?” making it far more difficult to answer as a single bus often undertakes multiple journeys on </w:t>
      </w:r>
      <w:proofErr w:type="spellStart"/>
      <w:r>
        <w:rPr>
          <w:rStyle w:val="ui-provider"/>
          <w:rFonts w:eastAsia="Times New Roman"/>
        </w:rPr>
        <w:t>it’s</w:t>
      </w:r>
      <w:proofErr w:type="spellEnd"/>
      <w:r>
        <w:rPr>
          <w:rStyle w:val="ui-provider"/>
          <w:rFonts w:eastAsia="Times New Roman"/>
        </w:rPr>
        <w:t xml:space="preserve"> duty</w:t>
      </w:r>
    </w:p>
    <w:p w14:paraId="7939883F" w14:textId="77777777" w:rsidR="007A5279" w:rsidRDefault="007A5279" w:rsidP="007A5279">
      <w:pPr>
        <w:rPr>
          <w:rStyle w:val="ui-provider"/>
        </w:rPr>
      </w:pPr>
    </w:p>
    <w:p w14:paraId="5777D0A6" w14:textId="32BFB097" w:rsidR="007A5279" w:rsidRDefault="007A5279" w:rsidP="008870E4">
      <w:proofErr w:type="gramStart"/>
      <w:r>
        <w:rPr>
          <w:rStyle w:val="ui-provider"/>
        </w:rPr>
        <w:t>All of</w:t>
      </w:r>
      <w:proofErr w:type="gramEnd"/>
      <w:r>
        <w:rPr>
          <w:rStyle w:val="ui-provider"/>
        </w:rPr>
        <w:t xml:space="preserve"> the above and the varying ways of data recording (for the reasons outlined above) make it a </w:t>
      </w:r>
      <w:r>
        <w:rPr>
          <w:rStyle w:val="ui-provider"/>
        </w:rPr>
        <w:t>huge</w:t>
      </w:r>
      <w:r>
        <w:rPr>
          <w:rStyle w:val="ui-provider"/>
        </w:rPr>
        <w:t xml:space="preserve"> exercise</w:t>
      </w:r>
      <w:r>
        <w:rPr>
          <w:rStyle w:val="ui-provider"/>
        </w:rPr>
        <w:t>.</w:t>
      </w:r>
    </w:p>
    <w:p w14:paraId="71CD1CD3" w14:textId="77777777" w:rsidR="008870E4" w:rsidRDefault="008870E4" w:rsidP="008870E4">
      <w:r>
        <w:t>It is estimated that the cost of providing you with the information is above the amount to which we are legally required to respond i.e. the cost of locating and retrieving the required information exceeds the ‘appropriate level’ as stated in the Freedom of Information (Fees and appropriate limit) Regulations 2004.</w:t>
      </w:r>
    </w:p>
    <w:p w14:paraId="64D7C323" w14:textId="77777777" w:rsidR="008870E4" w:rsidRPr="00887228" w:rsidRDefault="008870E4" w:rsidP="008870E4">
      <w:pPr>
        <w:rPr>
          <w:b/>
          <w:bCs/>
        </w:rPr>
      </w:pPr>
      <w:r>
        <w:t>In the case of Transport for Wales (</w:t>
      </w:r>
      <w:proofErr w:type="spellStart"/>
      <w:r>
        <w:t>TfW</w:t>
      </w:r>
      <w:proofErr w:type="spellEnd"/>
      <w:r>
        <w:t xml:space="preserve">), the appropriate limit is £450 which has been calculated to equate to a total of 18 hours of work. </w:t>
      </w:r>
      <w:r w:rsidRPr="00887228">
        <w:rPr>
          <w:b/>
          <w:bCs/>
        </w:rPr>
        <w:t xml:space="preserve">If any part of the request exceeds the fees </w:t>
      </w:r>
      <w:proofErr w:type="gramStart"/>
      <w:r w:rsidRPr="00887228">
        <w:rPr>
          <w:b/>
          <w:bCs/>
        </w:rPr>
        <w:t>limit</w:t>
      </w:r>
      <w:proofErr w:type="gramEnd"/>
      <w:r w:rsidRPr="00887228">
        <w:rPr>
          <w:b/>
          <w:bCs/>
        </w:rPr>
        <w:t xml:space="preserve"> then Section 12 applies to the whole request.</w:t>
      </w:r>
    </w:p>
    <w:p w14:paraId="4465F28D" w14:textId="77777777" w:rsidR="008870E4" w:rsidRDefault="008870E4" w:rsidP="008870E4">
      <w:r>
        <w:t>In accordance with the Freedom of Information Act 2000, this letter acts as a refusal notice.</w:t>
      </w:r>
    </w:p>
    <w:p w14:paraId="1616E716" w14:textId="76CDBC82" w:rsidR="008870E4" w:rsidRDefault="008870E4" w:rsidP="008870E4">
      <w:pPr>
        <w:rPr>
          <w:rFonts w:cstheme="minorHAnsi"/>
          <w:b/>
          <w:bCs/>
        </w:rPr>
      </w:pPr>
      <w:r w:rsidRPr="00887228">
        <w:rPr>
          <w:rFonts w:cstheme="minorHAnsi"/>
          <w:b/>
          <w:bCs/>
        </w:rPr>
        <w:t xml:space="preserve">Under Section 16, the duty to advise and assist, if you were to resubmit your </w:t>
      </w:r>
      <w:r w:rsidR="007A5279">
        <w:rPr>
          <w:rFonts w:cstheme="minorHAnsi"/>
          <w:b/>
          <w:bCs/>
        </w:rPr>
        <w:t>asking –</w:t>
      </w:r>
    </w:p>
    <w:p w14:paraId="3DE221B1" w14:textId="77777777" w:rsidR="007A5279" w:rsidRDefault="007A5279" w:rsidP="007A5279">
      <w:pPr>
        <w:pStyle w:val="ListParagraph"/>
        <w:numPr>
          <w:ilvl w:val="0"/>
          <w:numId w:val="11"/>
        </w:numPr>
        <w:rPr>
          <w:rStyle w:val="ui-provider"/>
          <w:rFonts w:eastAsia="Times New Roman"/>
        </w:rPr>
      </w:pPr>
      <w:r>
        <w:rPr>
          <w:rStyle w:val="ui-provider"/>
          <w:rFonts w:eastAsia="Times New Roman"/>
        </w:rPr>
        <w:lastRenderedPageBreak/>
        <w:t>How much has been spent on rail replacement for the period; or</w:t>
      </w:r>
    </w:p>
    <w:p w14:paraId="27336A2E" w14:textId="77777777" w:rsidR="007A5279" w:rsidRDefault="007A5279" w:rsidP="007A5279">
      <w:pPr>
        <w:pStyle w:val="ListParagraph"/>
        <w:numPr>
          <w:ilvl w:val="0"/>
          <w:numId w:val="11"/>
        </w:numPr>
        <w:rPr>
          <w:rStyle w:val="ui-provider"/>
          <w:rFonts w:eastAsia="Times New Roman"/>
        </w:rPr>
      </w:pPr>
      <w:r>
        <w:rPr>
          <w:rStyle w:val="ui-provider"/>
          <w:rFonts w:eastAsia="Times New Roman"/>
        </w:rPr>
        <w:t xml:space="preserve">How many buses have been used for rail replacement for the </w:t>
      </w:r>
      <w:proofErr w:type="gramStart"/>
      <w:r>
        <w:rPr>
          <w:rStyle w:val="ui-provider"/>
          <w:rFonts w:eastAsia="Times New Roman"/>
        </w:rPr>
        <w:t>period</w:t>
      </w:r>
      <w:proofErr w:type="gramEnd"/>
    </w:p>
    <w:p w14:paraId="4395FBFC" w14:textId="77777777" w:rsidR="007A5279" w:rsidRDefault="007A5279" w:rsidP="007A5279">
      <w:pPr>
        <w:spacing w:line="240" w:lineRule="auto"/>
        <w:rPr>
          <w:rFonts w:cstheme="minorHAnsi"/>
        </w:rPr>
      </w:pPr>
    </w:p>
    <w:p w14:paraId="2FAB3203" w14:textId="068F53FE" w:rsidR="007A5279" w:rsidRDefault="007A5279" w:rsidP="007A5279">
      <w:pPr>
        <w:spacing w:line="240" w:lineRule="auto"/>
        <w:rPr>
          <w:rFonts w:cstheme="minorHAnsi"/>
        </w:rPr>
      </w:pPr>
      <w:r w:rsidRPr="007A5279">
        <w:rPr>
          <w:rFonts w:cstheme="minorHAnsi"/>
        </w:rPr>
        <w:t xml:space="preserve">We may be </w:t>
      </w:r>
      <w:proofErr w:type="gramStart"/>
      <w:r w:rsidRPr="007A5279">
        <w:rPr>
          <w:rFonts w:cstheme="minorHAnsi"/>
        </w:rPr>
        <w:t>in a position</w:t>
      </w:r>
      <w:proofErr w:type="gramEnd"/>
      <w:r w:rsidRPr="007A5279">
        <w:rPr>
          <w:rFonts w:cstheme="minorHAnsi"/>
        </w:rPr>
        <w:t xml:space="preserve"> to assist.</w:t>
      </w:r>
    </w:p>
    <w:p w14:paraId="6E08EFFC" w14:textId="35A266DC" w:rsidR="007A5279" w:rsidRDefault="007A5279" w:rsidP="007A5279">
      <w:pPr>
        <w:spacing w:line="240" w:lineRule="auto"/>
        <w:rPr>
          <w:rFonts w:cstheme="minorHAnsi"/>
        </w:rPr>
      </w:pPr>
      <w:r>
        <w:rPr>
          <w:rFonts w:cstheme="minorHAnsi"/>
        </w:rPr>
        <w:t xml:space="preserve">Excess cost removes </w:t>
      </w:r>
      <w:proofErr w:type="spellStart"/>
      <w:r>
        <w:rPr>
          <w:rFonts w:cstheme="minorHAnsi"/>
        </w:rPr>
        <w:t>TfW’s</w:t>
      </w:r>
      <w:proofErr w:type="spellEnd"/>
      <w:r>
        <w:rPr>
          <w:rFonts w:cstheme="minorHAnsi"/>
        </w:rPr>
        <w:t xml:space="preserve"> obligation under the Freedom of Information Act; However, we have supplied the information relative to your request, retrieved before it was realised that the fees limit would be exceeded. </w:t>
      </w:r>
    </w:p>
    <w:p w14:paraId="7AD3C19E" w14:textId="4520CD59" w:rsidR="00886E3A" w:rsidRPr="00886E3A" w:rsidRDefault="007A5279" w:rsidP="00886E3A">
      <w:pPr>
        <w:spacing w:line="240" w:lineRule="auto"/>
        <w:rPr>
          <w:rFonts w:cstheme="minorHAnsi"/>
        </w:rPr>
      </w:pPr>
      <w:r>
        <w:rPr>
          <w:rFonts w:cstheme="minorHAnsi"/>
        </w:rPr>
        <w:t>This information has been supplied outside of the Freedom of Information Act. I trust this is helpful, but it does not affect our legal right to rely on the fees regulations for the remainder of the request.</w:t>
      </w:r>
    </w:p>
    <w:p w14:paraId="28B7C283" w14:textId="77777777" w:rsidR="00886E3A" w:rsidRDefault="00886E3A" w:rsidP="00886E3A">
      <w:pPr>
        <w:rPr>
          <w:rFonts w:ascii="Aptos" w:hAnsi="Aptos"/>
          <w:color w:val="000000"/>
        </w:rPr>
      </w:pPr>
    </w:p>
    <w:tbl>
      <w:tblPr>
        <w:tblW w:w="4860" w:type="dxa"/>
        <w:tblCellMar>
          <w:left w:w="0" w:type="dxa"/>
          <w:right w:w="0" w:type="dxa"/>
        </w:tblCellMar>
        <w:tblLook w:val="04A0" w:firstRow="1" w:lastRow="0" w:firstColumn="1" w:lastColumn="0" w:noHBand="0" w:noVBand="1"/>
      </w:tblPr>
      <w:tblGrid>
        <w:gridCol w:w="1606"/>
        <w:gridCol w:w="1594"/>
        <w:gridCol w:w="1660"/>
      </w:tblGrid>
      <w:tr w:rsidR="00886E3A" w14:paraId="23EA8578" w14:textId="77777777" w:rsidTr="00886E3A">
        <w:trPr>
          <w:trHeight w:val="671"/>
        </w:trPr>
        <w:tc>
          <w:tcPr>
            <w:tcW w:w="4846"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2CADD5A9" w14:textId="77777777" w:rsidR="00886E3A" w:rsidRDefault="00886E3A">
            <w:pPr>
              <w:jc w:val="center"/>
              <w:rPr>
                <w:rFonts w:ascii="Calibri" w:hAnsi="Calibri"/>
              </w:rPr>
            </w:pPr>
            <w:r>
              <w:rPr>
                <w:color w:val="000000"/>
              </w:rPr>
              <w:t xml:space="preserve">How many refunds have been issued for </w:t>
            </w:r>
            <w:r>
              <w:rPr>
                <w:b/>
                <w:bCs/>
                <w:color w:val="000000"/>
              </w:rPr>
              <w:t>single and return train</w:t>
            </w:r>
            <w:r>
              <w:rPr>
                <w:color w:val="000000"/>
              </w:rPr>
              <w:t> tickets over the period?</w:t>
            </w:r>
          </w:p>
        </w:tc>
      </w:tr>
      <w:tr w:rsidR="00886E3A" w14:paraId="500A2382" w14:textId="77777777" w:rsidTr="00886E3A">
        <w:trPr>
          <w:trHeight w:val="357"/>
        </w:trPr>
        <w:tc>
          <w:tcPr>
            <w:tcW w:w="160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770F1499" w14:textId="77777777" w:rsidR="00886E3A" w:rsidRDefault="00886E3A">
            <w:r>
              <w:rPr>
                <w:color w:val="000000"/>
              </w:rPr>
              <w:t> </w:t>
            </w:r>
          </w:p>
        </w:tc>
        <w:tc>
          <w:tcPr>
            <w:tcW w:w="159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89620C7" w14:textId="77777777" w:rsidR="00886E3A" w:rsidRDefault="00886E3A">
            <w:pPr>
              <w:jc w:val="center"/>
            </w:pPr>
            <w:r>
              <w:rPr>
                <w:color w:val="000000"/>
              </w:rPr>
              <w:t>Single</w:t>
            </w:r>
          </w:p>
        </w:tc>
        <w:tc>
          <w:tcPr>
            <w:tcW w:w="165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52743B0C" w14:textId="77777777" w:rsidR="00886E3A" w:rsidRDefault="00886E3A">
            <w:pPr>
              <w:jc w:val="center"/>
            </w:pPr>
            <w:r>
              <w:rPr>
                <w:color w:val="000000"/>
              </w:rPr>
              <w:t>Return</w:t>
            </w:r>
          </w:p>
        </w:tc>
      </w:tr>
      <w:tr w:rsidR="00886E3A" w14:paraId="00F7D1D1" w14:textId="77777777" w:rsidTr="00886E3A">
        <w:trPr>
          <w:trHeight w:val="357"/>
        </w:trPr>
        <w:tc>
          <w:tcPr>
            <w:tcW w:w="160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30011E80" w14:textId="77777777" w:rsidR="00886E3A" w:rsidRDefault="00886E3A">
            <w:r>
              <w:rPr>
                <w:color w:val="000000"/>
              </w:rPr>
              <w:t>15-29 Mins</w:t>
            </w:r>
          </w:p>
        </w:tc>
        <w:tc>
          <w:tcPr>
            <w:tcW w:w="159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5FBDA09" w14:textId="77777777" w:rsidR="00886E3A" w:rsidRDefault="00886E3A">
            <w:pPr>
              <w:jc w:val="center"/>
            </w:pPr>
            <w:r>
              <w:rPr>
                <w:color w:val="000000"/>
              </w:rPr>
              <w:t>32,925</w:t>
            </w:r>
          </w:p>
        </w:tc>
        <w:tc>
          <w:tcPr>
            <w:tcW w:w="165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9E85454" w14:textId="77777777" w:rsidR="00886E3A" w:rsidRDefault="00886E3A">
            <w:pPr>
              <w:jc w:val="center"/>
            </w:pPr>
            <w:r>
              <w:rPr>
                <w:color w:val="000000"/>
              </w:rPr>
              <w:t>20,791</w:t>
            </w:r>
          </w:p>
        </w:tc>
      </w:tr>
      <w:tr w:rsidR="00886E3A" w14:paraId="0107611A" w14:textId="77777777" w:rsidTr="00886E3A">
        <w:trPr>
          <w:trHeight w:val="357"/>
        </w:trPr>
        <w:tc>
          <w:tcPr>
            <w:tcW w:w="160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3E38F45A" w14:textId="77777777" w:rsidR="00886E3A" w:rsidRDefault="00886E3A">
            <w:r>
              <w:rPr>
                <w:color w:val="000000"/>
              </w:rPr>
              <w:t>30-59 Mins</w:t>
            </w:r>
          </w:p>
        </w:tc>
        <w:tc>
          <w:tcPr>
            <w:tcW w:w="159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2A02E7BB" w14:textId="77777777" w:rsidR="00886E3A" w:rsidRDefault="00886E3A">
            <w:pPr>
              <w:jc w:val="center"/>
            </w:pPr>
            <w:r>
              <w:rPr>
                <w:color w:val="000000"/>
              </w:rPr>
              <w:t>35,309</w:t>
            </w:r>
          </w:p>
        </w:tc>
        <w:tc>
          <w:tcPr>
            <w:tcW w:w="165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4C80B75E" w14:textId="77777777" w:rsidR="00886E3A" w:rsidRDefault="00886E3A">
            <w:pPr>
              <w:jc w:val="center"/>
            </w:pPr>
            <w:r>
              <w:rPr>
                <w:color w:val="000000"/>
              </w:rPr>
              <w:t>28,632</w:t>
            </w:r>
          </w:p>
        </w:tc>
      </w:tr>
      <w:tr w:rsidR="00886E3A" w14:paraId="2058A1B1" w14:textId="77777777" w:rsidTr="00886E3A">
        <w:trPr>
          <w:trHeight w:val="357"/>
        </w:trPr>
        <w:tc>
          <w:tcPr>
            <w:tcW w:w="160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1324CEA8" w14:textId="77777777" w:rsidR="00886E3A" w:rsidRDefault="00886E3A">
            <w:r>
              <w:rPr>
                <w:color w:val="000000"/>
              </w:rPr>
              <w:t>60-119 Mins</w:t>
            </w:r>
          </w:p>
        </w:tc>
        <w:tc>
          <w:tcPr>
            <w:tcW w:w="159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618BCF5" w14:textId="77777777" w:rsidR="00886E3A" w:rsidRDefault="00886E3A">
            <w:pPr>
              <w:jc w:val="center"/>
            </w:pPr>
            <w:r>
              <w:rPr>
                <w:color w:val="000000"/>
              </w:rPr>
              <w:t>37,303</w:t>
            </w:r>
          </w:p>
        </w:tc>
        <w:tc>
          <w:tcPr>
            <w:tcW w:w="165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7E15AB46" w14:textId="77777777" w:rsidR="00886E3A" w:rsidRDefault="00886E3A">
            <w:pPr>
              <w:jc w:val="center"/>
            </w:pPr>
            <w:r>
              <w:rPr>
                <w:color w:val="000000"/>
              </w:rPr>
              <w:t>30,331</w:t>
            </w:r>
          </w:p>
        </w:tc>
      </w:tr>
      <w:tr w:rsidR="00886E3A" w14:paraId="494CB5AB" w14:textId="77777777" w:rsidTr="00886E3A">
        <w:trPr>
          <w:trHeight w:val="357"/>
        </w:trPr>
        <w:tc>
          <w:tcPr>
            <w:tcW w:w="160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33FCBE9" w14:textId="77777777" w:rsidR="00886E3A" w:rsidRDefault="00886E3A">
            <w:r>
              <w:rPr>
                <w:color w:val="000000"/>
              </w:rPr>
              <w:t>120+ Mins</w:t>
            </w:r>
          </w:p>
        </w:tc>
        <w:tc>
          <w:tcPr>
            <w:tcW w:w="159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417E5D7F" w14:textId="77777777" w:rsidR="00886E3A" w:rsidRDefault="00886E3A">
            <w:pPr>
              <w:jc w:val="center"/>
            </w:pPr>
            <w:r>
              <w:rPr>
                <w:color w:val="000000"/>
              </w:rPr>
              <w:t>27,893</w:t>
            </w:r>
          </w:p>
        </w:tc>
        <w:tc>
          <w:tcPr>
            <w:tcW w:w="165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27D59F4B" w14:textId="77777777" w:rsidR="00886E3A" w:rsidRDefault="00886E3A">
            <w:pPr>
              <w:jc w:val="center"/>
            </w:pPr>
            <w:r>
              <w:rPr>
                <w:color w:val="000000"/>
              </w:rPr>
              <w:t>20,789</w:t>
            </w:r>
          </w:p>
        </w:tc>
      </w:tr>
    </w:tbl>
    <w:p w14:paraId="1EE24E85" w14:textId="77777777" w:rsidR="00886E3A" w:rsidRDefault="00886E3A" w:rsidP="00886E3A">
      <w:pPr>
        <w:rPr>
          <w:rFonts w:ascii="Aptos" w:hAnsi="Aptos" w:cs="Calibri"/>
          <w:color w:val="000000"/>
        </w:rPr>
      </w:pPr>
    </w:p>
    <w:tbl>
      <w:tblPr>
        <w:tblW w:w="0" w:type="auto"/>
        <w:tblCellMar>
          <w:left w:w="0" w:type="dxa"/>
          <w:right w:w="0" w:type="dxa"/>
        </w:tblCellMar>
        <w:tblLook w:val="04A0" w:firstRow="1" w:lastRow="0" w:firstColumn="1" w:lastColumn="0" w:noHBand="0" w:noVBand="1"/>
      </w:tblPr>
      <w:tblGrid>
        <w:gridCol w:w="3160"/>
        <w:gridCol w:w="1695"/>
      </w:tblGrid>
      <w:tr w:rsidR="00886E3A" w14:paraId="2C38577A" w14:textId="77777777" w:rsidTr="00886E3A">
        <w:trPr>
          <w:trHeight w:val="984"/>
        </w:trPr>
        <w:tc>
          <w:tcPr>
            <w:tcW w:w="31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6AEAFF48" w14:textId="77777777" w:rsidR="00886E3A" w:rsidRDefault="00886E3A">
            <w:pPr>
              <w:jc w:val="center"/>
              <w:rPr>
                <w:rFonts w:ascii="Calibri" w:hAnsi="Calibri"/>
              </w:rPr>
            </w:pPr>
            <w:r>
              <w:rPr>
                <w:color w:val="000000"/>
              </w:rPr>
              <w:t xml:space="preserve">How much compensation has been refunded for </w:t>
            </w:r>
            <w:r>
              <w:rPr>
                <w:b/>
                <w:bCs/>
                <w:color w:val="000000"/>
              </w:rPr>
              <w:t>delayed</w:t>
            </w:r>
            <w:r>
              <w:rPr>
                <w:color w:val="000000"/>
              </w:rPr>
              <w:t xml:space="preserve"> train services over the </w:t>
            </w:r>
            <w:proofErr w:type="gramStart"/>
            <w:r>
              <w:rPr>
                <w:color w:val="000000"/>
              </w:rPr>
              <w:t>five year</w:t>
            </w:r>
            <w:proofErr w:type="gramEnd"/>
            <w:r>
              <w:rPr>
                <w:color w:val="000000"/>
              </w:rPr>
              <w:t xml:space="preserve"> period?</w:t>
            </w:r>
          </w:p>
        </w:tc>
        <w:tc>
          <w:tcPr>
            <w:tcW w:w="169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54506B7C" w14:textId="77777777" w:rsidR="00886E3A" w:rsidRDefault="00886E3A">
            <w:pPr>
              <w:jc w:val="center"/>
            </w:pPr>
            <w:r>
              <w:rPr>
                <w:color w:val="000000"/>
              </w:rPr>
              <w:t>£2,290,237.93</w:t>
            </w:r>
          </w:p>
        </w:tc>
      </w:tr>
    </w:tbl>
    <w:p w14:paraId="0880BE96" w14:textId="77777777" w:rsidR="00886E3A" w:rsidRDefault="00886E3A" w:rsidP="00886E3A">
      <w:pPr>
        <w:rPr>
          <w:rFonts w:ascii="Calibri" w:hAnsi="Calibri" w:cs="Calibri"/>
        </w:rPr>
      </w:pPr>
    </w:p>
    <w:p w14:paraId="4E1C3D1C" w14:textId="77777777" w:rsidR="00886E3A" w:rsidRDefault="00886E3A" w:rsidP="00886E3A">
      <w:r>
        <w:t xml:space="preserve">We also update this on the website every quarter too </w:t>
      </w:r>
      <w:hyperlink r:id="rId10" w:history="1">
        <w:r>
          <w:rPr>
            <w:rStyle w:val="Hyperlink"/>
          </w:rPr>
          <w:t xml:space="preserve">Delay Repay | </w:t>
        </w:r>
        <w:proofErr w:type="spellStart"/>
        <w:r>
          <w:rPr>
            <w:rStyle w:val="Hyperlink"/>
          </w:rPr>
          <w:t>TfW</w:t>
        </w:r>
        <w:proofErr w:type="spellEnd"/>
      </w:hyperlink>
      <w:r>
        <w:t>.</w:t>
      </w:r>
    </w:p>
    <w:p w14:paraId="3A0498DB" w14:textId="77777777" w:rsidR="007A5279" w:rsidRPr="007A5279" w:rsidRDefault="007A5279" w:rsidP="007A5279">
      <w:pPr>
        <w:spacing w:line="240" w:lineRule="auto"/>
        <w:rPr>
          <w:rFonts w:cstheme="minorHAnsi"/>
        </w:rPr>
      </w:pPr>
    </w:p>
    <w:p w14:paraId="5C4F146E" w14:textId="77777777" w:rsidR="007A5279" w:rsidRPr="00887228" w:rsidRDefault="007A5279" w:rsidP="008870E4">
      <w:pPr>
        <w:rPr>
          <w:rFonts w:cstheme="minorHAnsi"/>
          <w:b/>
          <w:bCs/>
        </w:rPr>
      </w:pPr>
    </w:p>
    <w:p w14:paraId="1FA16822" w14:textId="77777777" w:rsidR="008870E4" w:rsidRDefault="008870E4" w:rsidP="00962DA6">
      <w:pPr>
        <w:spacing w:after="0"/>
        <w:rPr>
          <w:rFonts w:cstheme="minorHAnsi"/>
          <w:b/>
          <w:bCs/>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47BCE"/>
    <w:multiLevelType w:val="hybridMultilevel"/>
    <w:tmpl w:val="D67C0FEC"/>
    <w:lvl w:ilvl="0" w:tplc="1CC054BA">
      <w:start w:val="2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2"/>
  </w:num>
  <w:num w:numId="11" w16cid:durableId="77629590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A5279"/>
    <w:rsid w:val="007B324E"/>
    <w:rsid w:val="007D46CF"/>
    <w:rsid w:val="008142C8"/>
    <w:rsid w:val="00833A37"/>
    <w:rsid w:val="008362B2"/>
    <w:rsid w:val="00840CBC"/>
    <w:rsid w:val="00875924"/>
    <w:rsid w:val="00886E3A"/>
    <w:rsid w:val="008870E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p1">
    <w:name w:val="p1"/>
    <w:basedOn w:val="Normal"/>
    <w:rsid w:val="008870E4"/>
    <w:pPr>
      <w:spacing w:before="100" w:beforeAutospacing="1" w:after="100" w:afterAutospacing="1" w:line="240" w:lineRule="auto"/>
    </w:pPr>
    <w:rPr>
      <w:rFonts w:ascii="Aptos" w:hAnsi="Aptos" w:cs="Aptos"/>
      <w:sz w:val="24"/>
      <w:szCs w:val="24"/>
      <w:lang w:eastAsia="en-GB"/>
    </w:rPr>
  </w:style>
  <w:style w:type="paragraph" w:customStyle="1" w:styleId="p2">
    <w:name w:val="p2"/>
    <w:basedOn w:val="Normal"/>
    <w:rsid w:val="008870E4"/>
    <w:pPr>
      <w:spacing w:before="100" w:beforeAutospacing="1" w:after="100" w:afterAutospacing="1" w:line="240" w:lineRule="auto"/>
    </w:pPr>
    <w:rPr>
      <w:rFonts w:ascii="Aptos" w:hAnsi="Aptos" w:cs="Aptos"/>
      <w:sz w:val="24"/>
      <w:szCs w:val="24"/>
      <w:lang w:eastAsia="en-GB"/>
    </w:rPr>
  </w:style>
  <w:style w:type="character" w:customStyle="1" w:styleId="s1">
    <w:name w:val="s1"/>
    <w:basedOn w:val="DefaultParagraphFont"/>
    <w:rsid w:val="008870E4"/>
  </w:style>
  <w:style w:type="character" w:customStyle="1" w:styleId="apple-converted-space">
    <w:name w:val="apple-converted-space"/>
    <w:basedOn w:val="DefaultParagraphFont"/>
    <w:rsid w:val="008870E4"/>
  </w:style>
  <w:style w:type="character" w:customStyle="1" w:styleId="ui-provider">
    <w:name w:val="ui-provider"/>
    <w:basedOn w:val="DefaultParagraphFont"/>
    <w:rsid w:val="007A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70447640">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4059582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1976436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198511620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help-and-contact%2Frail%2Fdelay-repay&amp;data=05%7C02%7CFreedomofinformation%40tfw.wales%7C787af768bde94f600f4708dbfcb33f87%7C87dcd024301948269956ba76b2a04ff4%7C0%7C0%7C638381619061649703%7CUnknown%7CTWFpbGZsb3d8eyJWIjoiMC4wLjAwMDAiLCJQIjoiV2luMzIiLCJBTiI6Ik1haWwiLCJXVCI6Mn0%3D%7C3000%7C%7C%7C&amp;sdata=ShYBATAqjmmMOaHf823wqE0haR19tgLmbLPVUrZv2V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13415C61-5D1D-4A89-B951-C5781CC96EB0}"/>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3186</Characters>
  <Application>Microsoft Office Word</Application>
  <DocSecurity>0</DocSecurity>
  <Lines>318</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2024-01-15T12:25:00Z</dcterms:created>
  <dcterms:modified xsi:type="dcterms:W3CDTF">2024-01-15T12:25:00Z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