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4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4613333" cy="293893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3333" cy="2938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ind w:left="0"/>
        <w:rPr>
          <w:rFonts w:ascii="Times New Roman"/>
          <w:sz w:val="14"/>
        </w:rPr>
      </w:pPr>
    </w:p>
    <w:p>
      <w:pPr>
        <w:pStyle w:val="Title"/>
      </w:pPr>
      <w:r>
        <w:rPr>
          <w:color w:val="D2232A"/>
        </w:rPr>
        <w:t>Long distance locomotive hauled services</w:t>
      </w:r>
    </w:p>
    <w:p>
      <w:pPr>
        <w:pStyle w:val="BodyText"/>
        <w:tabs>
          <w:tab w:pos="2953" w:val="left" w:leader="none"/>
        </w:tabs>
        <w:spacing w:before="230"/>
      </w:pPr>
      <w:r>
        <w:rPr>
          <w:color w:val="231F20"/>
          <w:spacing w:val="-5"/>
        </w:rPr>
        <w:t>Type</w:t>
      </w:r>
      <w:r>
        <w:rPr>
          <w:color w:val="231F20"/>
          <w:spacing w:val="-3"/>
        </w:rPr>
        <w:t> </w:t>
      </w:r>
      <w:r>
        <w:rPr>
          <w:color w:val="231F20"/>
        </w:rPr>
        <w:t>of </w:t>
      </w:r>
      <w:r>
        <w:rPr>
          <w:color w:val="231F20"/>
          <w:spacing w:val="-4"/>
        </w:rPr>
        <w:t>train</w:t>
        <w:tab/>
      </w:r>
      <w:r>
        <w:rPr>
          <w:color w:val="231F20"/>
        </w:rPr>
        <w:t>Diesel </w:t>
      </w:r>
      <w:r>
        <w:rPr>
          <w:color w:val="231F20"/>
          <w:spacing w:val="-4"/>
        </w:rPr>
        <w:t>locomotive </w:t>
      </w:r>
      <w:r>
        <w:rPr>
          <w:color w:val="231F20"/>
        </w:rPr>
        <w:t>and four</w:t>
      </w:r>
      <w:r>
        <w:rPr>
          <w:color w:val="231F20"/>
          <w:spacing w:val="-30"/>
        </w:rPr>
        <w:t> </w:t>
      </w:r>
      <w:r>
        <w:rPr>
          <w:color w:val="231F20"/>
        </w:rPr>
        <w:t>carriages</w:t>
      </w:r>
    </w:p>
    <w:p>
      <w:pPr>
        <w:pStyle w:val="BodyText"/>
        <w:tabs>
          <w:tab w:pos="2953" w:val="left" w:leader="none"/>
        </w:tabs>
        <w:spacing w:before="11"/>
      </w:pPr>
      <w:r>
        <w:rPr>
          <w:color w:val="231F20"/>
          <w:spacing w:val="-6"/>
        </w:rPr>
        <w:t>Year </w:t>
      </w:r>
      <w:r>
        <w:rPr>
          <w:color w:val="231F20"/>
        </w:rPr>
        <w:t>built</w:t>
        <w:tab/>
        <w:t>1989 to</w:t>
      </w:r>
      <w:r>
        <w:rPr>
          <w:color w:val="231F20"/>
          <w:spacing w:val="-5"/>
        </w:rPr>
        <w:t> </w:t>
      </w:r>
      <w:r>
        <w:rPr>
          <w:color w:val="231F20"/>
        </w:rPr>
        <w:t>1992</w:t>
      </w:r>
    </w:p>
    <w:p>
      <w:pPr>
        <w:pStyle w:val="BodyText"/>
        <w:tabs>
          <w:tab w:pos="3058" w:val="right" w:leader="none"/>
        </w:tabs>
        <w:spacing w:before="6"/>
      </w:pPr>
      <w:r>
        <w:rPr>
          <w:color w:val="231F20"/>
        </w:rPr>
        <w:t>Number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1"/>
        </w:rPr>
        <w:t> </w:t>
      </w:r>
      <w:r>
        <w:rPr>
          <w:color w:val="231F20"/>
          <w:spacing w:val="-3"/>
        </w:rPr>
        <w:t>fleet</w:t>
        <w:tab/>
      </w:r>
      <w:r>
        <w:rPr>
          <w:color w:val="231F20"/>
        </w:rPr>
        <w:t>3</w:t>
      </w:r>
    </w:p>
    <w:p>
      <w:pPr>
        <w:pStyle w:val="BodyText"/>
        <w:tabs>
          <w:tab w:pos="2953" w:val="left" w:leader="none"/>
        </w:tabs>
        <w:spacing w:before="6"/>
      </w:pPr>
      <w:r>
        <w:rPr>
          <w:color w:val="231F20"/>
          <w:spacing w:val="-3"/>
        </w:rPr>
        <w:t>Seating</w:t>
      </w:r>
      <w:r>
        <w:rPr>
          <w:color w:val="231F20"/>
          <w:spacing w:val="-4"/>
        </w:rPr>
        <w:t> </w:t>
      </w:r>
      <w:r>
        <w:rPr>
          <w:color w:val="231F20"/>
        </w:rPr>
        <w:t>capacity</w:t>
        <w:tab/>
      </w:r>
      <w:r>
        <w:rPr/>
        <w:t>46 First Class, 202 </w:t>
      </w:r>
      <w:r>
        <w:rPr>
          <w:spacing w:val="-3"/>
        </w:rPr>
        <w:t>Standard</w:t>
      </w:r>
      <w:r>
        <w:rPr>
          <w:spacing w:val="-21"/>
        </w:rPr>
        <w:t> </w:t>
      </w:r>
      <w:r>
        <w:rPr/>
        <w:t>Class</w:t>
      </w:r>
    </w:p>
    <w:p>
      <w:pPr>
        <w:pStyle w:val="BodyText"/>
        <w:tabs>
          <w:tab w:pos="3060" w:val="right" w:leader="none"/>
        </w:tabs>
        <w:spacing w:before="6"/>
      </w:pPr>
      <w:r>
        <w:rPr>
          <w:spacing w:val="-6"/>
        </w:rPr>
        <w:t>Toilets</w:t>
        <w:tab/>
      </w:r>
      <w:r>
        <w:rPr/>
        <w:t>4</w:t>
      </w:r>
    </w:p>
    <w:p>
      <w:pPr>
        <w:pStyle w:val="BodyText"/>
        <w:tabs>
          <w:tab w:pos="2953" w:val="left" w:leader="none"/>
        </w:tabs>
        <w:spacing w:before="6"/>
      </w:pPr>
      <w:r>
        <w:rPr>
          <w:spacing w:val="-3"/>
        </w:rPr>
        <w:t>Wheelchair</w:t>
      </w:r>
      <w:r>
        <w:rPr>
          <w:spacing w:val="2"/>
        </w:rPr>
        <w:t> </w:t>
      </w:r>
      <w:r>
        <w:rPr>
          <w:spacing w:val="-4"/>
        </w:rPr>
        <w:t>accessible</w:t>
      </w:r>
      <w:r>
        <w:rPr>
          <w:spacing w:val="4"/>
        </w:rPr>
        <w:t> </w:t>
      </w:r>
      <w:r>
        <w:rPr/>
        <w:t>toilet</w:t>
        <w:tab/>
      </w:r>
      <w:r>
        <w:rPr>
          <w:spacing w:val="-5"/>
        </w:rPr>
        <w:t>No</w:t>
      </w:r>
    </w:p>
    <w:p>
      <w:pPr>
        <w:pStyle w:val="BodyText"/>
        <w:tabs>
          <w:tab w:pos="3058" w:val="right" w:leader="none"/>
        </w:tabs>
        <w:spacing w:before="6"/>
      </w:pPr>
      <w:r>
        <w:rPr>
          <w:spacing w:val="-3"/>
        </w:rPr>
        <w:t>Wheelchair</w:t>
      </w:r>
      <w:r>
        <w:rPr/>
        <w:t> </w:t>
      </w:r>
      <w:r>
        <w:rPr>
          <w:spacing w:val="-3"/>
        </w:rPr>
        <w:t>users’</w:t>
      </w:r>
      <w:r>
        <w:rPr>
          <w:spacing w:val="1"/>
        </w:rPr>
        <w:t> </w:t>
      </w:r>
      <w:r>
        <w:rPr>
          <w:spacing w:val="-4"/>
        </w:rPr>
        <w:t>space</w:t>
        <w:tab/>
      </w:r>
      <w:r>
        <w:rPr/>
        <w:t>2</w:t>
      </w:r>
    </w:p>
    <w:p>
      <w:pPr>
        <w:pStyle w:val="BodyText"/>
        <w:tabs>
          <w:tab w:pos="2953" w:val="left" w:leader="none"/>
        </w:tabs>
        <w:spacing w:before="6"/>
      </w:pPr>
      <w:r>
        <w:rPr/>
        <w:t>Priority</w:t>
      </w:r>
      <w:r>
        <w:rPr>
          <w:spacing w:val="-1"/>
        </w:rPr>
        <w:t> </w:t>
      </w:r>
      <w:r>
        <w:rPr>
          <w:spacing w:val="-3"/>
        </w:rPr>
        <w:t>Seating</w:t>
        <w:tab/>
      </w:r>
      <w:r>
        <w:rPr>
          <w:spacing w:val="-7"/>
        </w:rPr>
        <w:t>Yes</w:t>
      </w:r>
    </w:p>
    <w:p>
      <w:pPr>
        <w:pStyle w:val="BodyText"/>
        <w:tabs>
          <w:tab w:pos="3063" w:val="right" w:leader="none"/>
        </w:tabs>
        <w:spacing w:before="6"/>
      </w:pPr>
      <w:r>
        <w:rPr>
          <w:spacing w:val="-3"/>
        </w:rPr>
        <w:t>Bicycle</w:t>
      </w:r>
      <w:r>
        <w:rPr>
          <w:spacing w:val="-5"/>
        </w:rPr>
        <w:t> </w:t>
      </w:r>
      <w:r>
        <w:rPr>
          <w:spacing w:val="-3"/>
        </w:rPr>
        <w:t>space</w:t>
        <w:tab/>
      </w:r>
      <w:r>
        <w:rPr/>
        <w:t>5</w:t>
      </w:r>
    </w:p>
    <w:p>
      <w:pPr>
        <w:pStyle w:val="BodyText"/>
        <w:tabs>
          <w:tab w:pos="2953" w:val="left" w:leader="none"/>
        </w:tabs>
        <w:spacing w:before="11"/>
      </w:pPr>
      <w:r>
        <w:rPr>
          <w:color w:val="231F20"/>
        </w:rPr>
        <w:t>On</w:t>
      </w:r>
      <w:r>
        <w:rPr>
          <w:color w:val="231F20"/>
          <w:spacing w:val="-1"/>
        </w:rPr>
        <w:t> </w:t>
      </w:r>
      <w:r>
        <w:rPr>
          <w:color w:val="231F20"/>
        </w:rPr>
        <w:t>board</w:t>
      </w:r>
      <w:r>
        <w:rPr>
          <w:color w:val="231F20"/>
          <w:spacing w:val="-2"/>
        </w:rPr>
        <w:t> </w:t>
      </w:r>
      <w:r>
        <w:rPr>
          <w:color w:val="231F20"/>
          <w:spacing w:val="-3"/>
        </w:rPr>
        <w:t>facilities</w:t>
        <w:tab/>
      </w:r>
      <w:r>
        <w:rPr>
          <w:color w:val="231F20"/>
        </w:rPr>
        <w:t>Public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address,</w:t>
      </w:r>
      <w:r>
        <w:rPr>
          <w:color w:val="231F20"/>
          <w:spacing w:val="-20"/>
        </w:rPr>
        <w:t> </w:t>
      </w:r>
      <w:r>
        <w:rPr>
          <w:color w:val="231F20"/>
        </w:rPr>
        <w:t>access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ramp,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assistance</w:t>
      </w:r>
      <w:r>
        <w:rPr>
          <w:color w:val="231F20"/>
          <w:spacing w:val="-21"/>
        </w:rPr>
        <w:t> </w:t>
      </w:r>
      <w:r>
        <w:rPr>
          <w:color w:val="231F20"/>
        </w:rPr>
        <w:t>button,</w:t>
      </w:r>
      <w:r>
        <w:rPr>
          <w:color w:val="231F20"/>
          <w:spacing w:val="-17"/>
        </w:rPr>
        <w:t> </w:t>
      </w:r>
      <w:r>
        <w:rPr>
          <w:color w:val="231F20"/>
        </w:rPr>
        <w:t>Wifi</w:t>
      </w:r>
    </w:p>
    <w:p>
      <w:pPr>
        <w:pStyle w:val="BodyText"/>
        <w:spacing w:line="247" w:lineRule="auto" w:before="6"/>
        <w:ind w:left="2953" w:right="674"/>
      </w:pPr>
      <w:r>
        <w:rPr>
          <w:color w:val="231F20"/>
        </w:rPr>
        <w:t>and</w:t>
      </w:r>
      <w:r>
        <w:rPr>
          <w:color w:val="231F20"/>
          <w:spacing w:val="-16"/>
        </w:rPr>
        <w:t> </w:t>
      </w:r>
      <w:r>
        <w:rPr>
          <w:color w:val="231F20"/>
          <w:spacing w:val="-5"/>
        </w:rPr>
        <w:t>Restaurant</w:t>
      </w:r>
      <w:r>
        <w:rPr>
          <w:color w:val="231F20"/>
          <w:spacing w:val="-18"/>
        </w:rPr>
        <w:t> </w:t>
      </w:r>
      <w:r>
        <w:rPr>
          <w:color w:val="231F20"/>
        </w:rPr>
        <w:t>car</w:t>
      </w:r>
      <w:r>
        <w:rPr>
          <w:color w:val="231F20"/>
          <w:spacing w:val="-19"/>
        </w:rPr>
        <w:t> </w:t>
      </w:r>
      <w:r>
        <w:rPr>
          <w:color w:val="231F20"/>
        </w:rPr>
        <w:t>on</w:t>
      </w:r>
      <w:r>
        <w:rPr>
          <w:color w:val="231F20"/>
          <w:spacing w:val="-17"/>
        </w:rPr>
        <w:t> </w:t>
      </w:r>
      <w:r>
        <w:rPr>
          <w:color w:val="231F20"/>
        </w:rPr>
        <w:t>the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Holyhead</w:t>
      </w:r>
      <w:r>
        <w:rPr>
          <w:color w:val="231F20"/>
          <w:spacing w:val="-16"/>
        </w:rPr>
        <w:t> </w:t>
      </w:r>
      <w:r>
        <w:rPr>
          <w:color w:val="231F20"/>
        </w:rPr>
        <w:t>to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Cardiff </w:t>
      </w:r>
      <w:r>
        <w:rPr>
          <w:color w:val="231F20"/>
          <w:spacing w:val="-3"/>
        </w:rPr>
        <w:t>service in </w:t>
      </w:r>
      <w:r>
        <w:rPr>
          <w:color w:val="231F20"/>
        </w:rPr>
        <w:t>both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directions.</w:t>
      </w:r>
    </w:p>
    <w:p>
      <w:pPr>
        <w:pStyle w:val="BodyText"/>
        <w:tabs>
          <w:tab w:pos="2953" w:val="left" w:leader="none"/>
        </w:tabs>
        <w:spacing w:line="236" w:lineRule="exact"/>
      </w:pPr>
      <w:r>
        <w:rPr>
          <w:color w:val="231F20"/>
          <w:spacing w:val="-3"/>
        </w:rPr>
        <w:t>Routes</w:t>
      </w:r>
      <w:r>
        <w:rPr>
          <w:color w:val="231F20"/>
          <w:spacing w:val="3"/>
        </w:rPr>
        <w:t> </w:t>
      </w:r>
      <w:r>
        <w:rPr>
          <w:color w:val="231F20"/>
          <w:spacing w:val="-5"/>
        </w:rPr>
        <w:t>operated</w:t>
        <w:tab/>
      </w:r>
      <w:r>
        <w:rPr>
          <w:color w:val="231F20"/>
          <w:spacing w:val="-3"/>
        </w:rPr>
        <w:t>Holyhead </w:t>
      </w:r>
      <w:r>
        <w:rPr>
          <w:color w:val="231F20"/>
        </w:rPr>
        <w:t>to </w:t>
      </w:r>
      <w:r>
        <w:rPr>
          <w:color w:val="231F20"/>
          <w:spacing w:val="-4"/>
        </w:rPr>
        <w:t>Cardiff </w:t>
      </w:r>
      <w:r>
        <w:rPr>
          <w:color w:val="231F20"/>
        </w:rPr>
        <w:t>in both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directions.</w:t>
      </w:r>
    </w:p>
    <w:p>
      <w:pPr>
        <w:pStyle w:val="BodyText"/>
        <w:spacing w:line="247" w:lineRule="auto" w:before="6"/>
        <w:ind w:left="2953" w:right="651"/>
      </w:pPr>
      <w:r>
        <w:rPr>
          <w:color w:val="231F20"/>
          <w:spacing w:val="-3"/>
        </w:rPr>
        <w:t>Holyhead </w:t>
      </w:r>
      <w:r>
        <w:rPr>
          <w:color w:val="231F20"/>
        </w:rPr>
        <w:t>to </w:t>
      </w:r>
      <w:r>
        <w:rPr>
          <w:color w:val="231F20"/>
          <w:spacing w:val="-3"/>
        </w:rPr>
        <w:t>Chester and Manchester in </w:t>
      </w:r>
      <w:r>
        <w:rPr>
          <w:color w:val="231F20"/>
        </w:rPr>
        <w:t>both </w:t>
      </w:r>
      <w:r>
        <w:rPr>
          <w:color w:val="231F20"/>
          <w:spacing w:val="-3"/>
        </w:rPr>
        <w:t>directions.</w:t>
      </w:r>
    </w:p>
    <w:sectPr>
      <w:type w:val="continuous"/>
      <w:pgSz w:w="8380" w:h="11890"/>
      <w:pgMar w:top="560" w:bottom="280" w:left="4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ales Sans Body">
    <w:altName w:val="Wales Sans Body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Wales Sans Body" w:hAnsi="Wales Sans Body" w:eastAsia="Wales Sans Body" w:cs="Wales Sans Body"/>
    </w:rPr>
  </w:style>
  <w:style w:styleId="BodyText" w:type="paragraph">
    <w:name w:val="Body Text"/>
    <w:basedOn w:val="Normal"/>
    <w:uiPriority w:val="1"/>
    <w:qFormat/>
    <w:pPr>
      <w:ind w:left="111"/>
    </w:pPr>
    <w:rPr>
      <w:rFonts w:ascii="Wales Sans Body" w:hAnsi="Wales Sans Body" w:eastAsia="Wales Sans Body" w:cs="Wales Sans Body"/>
      <w:sz w:val="20"/>
      <w:szCs w:val="20"/>
    </w:rPr>
  </w:style>
  <w:style w:styleId="Title" w:type="paragraph">
    <w:name w:val="Title"/>
    <w:basedOn w:val="Normal"/>
    <w:uiPriority w:val="1"/>
    <w:qFormat/>
    <w:pPr>
      <w:spacing w:before="92"/>
      <w:ind w:left="111"/>
    </w:pPr>
    <w:rPr>
      <w:rFonts w:ascii="Wales Sans Body" w:hAnsi="Wales Sans Body" w:eastAsia="Wales Sans Body" w:cs="Wales Sans Body"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Resubmittion_TfW Fleet MRA 29062020.docx</dc:title>
  <dcterms:created xsi:type="dcterms:W3CDTF">2020-10-16T13:54:32Z</dcterms:created>
  <dcterms:modified xsi:type="dcterms:W3CDTF">2020-10-16T13:54:32Z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2020-08-25T00:00:00Z</vt:filetime>
  </property>
  <property fmtid="{D5CDD505-2E9C-101B-9397-08002B2CF9AE}" pid="3" name="Creator">
    <vt:lpwstr>Word</vt:lpwstr>
  </property>
  <property fmtid="{D5CDD505-2E9C-101B-9397-08002B2CF9AE}" pid="4" name="LastSaved">
    <vt:filetime>2020-10-16T00:00:00Z</vt:filetime>
  </property>
</Properties>
</file>