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620307" cy="293808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307" cy="293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2"/>
        <w:ind w:left="0"/>
        <w:rPr>
          <w:rFonts w:ascii="Times New Roman"/>
          <w:sz w:val="14"/>
        </w:rPr>
      </w:pPr>
    </w:p>
    <w:p>
      <w:pPr>
        <w:pStyle w:val="Title"/>
      </w:pPr>
      <w:r>
        <w:rPr>
          <w:color w:val="D2232A"/>
          <w:w w:val="105"/>
        </w:rPr>
        <w:t>Class 143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tabs>
          <w:tab w:pos="2972" w:val="left" w:leader="none"/>
        </w:tabs>
      </w:pPr>
      <w:r>
        <w:rPr>
          <w:color w:val="231F20"/>
          <w:spacing w:val="-5"/>
        </w:rPr>
        <w:t>Type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train</w:t>
        <w:tab/>
      </w:r>
      <w:r>
        <w:rPr>
          <w:color w:val="231F20"/>
          <w:spacing w:val="-6"/>
        </w:rPr>
        <w:t>Two </w:t>
      </w:r>
      <w:r>
        <w:rPr>
          <w:color w:val="231F20"/>
        </w:rPr>
        <w:t>carriage diesel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train</w:t>
      </w:r>
    </w:p>
    <w:p>
      <w:pPr>
        <w:pStyle w:val="BodyText"/>
        <w:tabs>
          <w:tab w:pos="2972" w:val="left" w:leader="none"/>
        </w:tabs>
        <w:spacing w:before="6"/>
      </w:pPr>
      <w:r>
        <w:rPr>
          <w:color w:val="231F20"/>
          <w:spacing w:val="-6"/>
          <w:w w:val="105"/>
        </w:rPr>
        <w:t>Year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built</w:t>
        <w:tab/>
        <w:t>1985 to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4"/>
          <w:w w:val="105"/>
        </w:rPr>
        <w:t>1986</w:t>
      </w:r>
    </w:p>
    <w:p>
      <w:pPr>
        <w:pStyle w:val="BodyText"/>
        <w:tabs>
          <w:tab w:pos="3135" w:val="right" w:leader="none"/>
        </w:tabs>
        <w:spacing w:before="6"/>
      </w:pPr>
      <w:r>
        <w:rPr>
          <w:color w:val="231F20"/>
          <w:w w:val="105"/>
        </w:rPr>
        <w:t>Number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in </w:t>
      </w:r>
      <w:r>
        <w:rPr>
          <w:color w:val="231F20"/>
          <w:spacing w:val="-3"/>
          <w:w w:val="105"/>
        </w:rPr>
        <w:t>fleet</w:t>
        <w:tab/>
      </w:r>
      <w:r>
        <w:rPr>
          <w:color w:val="231F20"/>
          <w:spacing w:val="-5"/>
          <w:w w:val="105"/>
        </w:rPr>
        <w:t>15</w:t>
      </w:r>
    </w:p>
    <w:p>
      <w:pPr>
        <w:pStyle w:val="BodyText"/>
        <w:tabs>
          <w:tab w:pos="2972" w:val="left" w:leader="none"/>
        </w:tabs>
        <w:spacing w:before="6"/>
      </w:pPr>
      <w:r>
        <w:rPr>
          <w:color w:val="231F20"/>
          <w:spacing w:val="-3"/>
        </w:rPr>
        <w:t>Seating</w:t>
      </w:r>
      <w:r>
        <w:rPr>
          <w:color w:val="231F20"/>
          <w:spacing w:val="9"/>
        </w:rPr>
        <w:t> </w:t>
      </w:r>
      <w:r>
        <w:rPr>
          <w:color w:val="231F20"/>
        </w:rPr>
        <w:t>capacity</w:t>
        <w:tab/>
      </w:r>
      <w:r>
        <w:rPr/>
        <w:t>104 + 6 tip up</w:t>
      </w:r>
      <w:r>
        <w:rPr>
          <w:spacing w:val="-4"/>
        </w:rPr>
        <w:t> </w:t>
      </w:r>
      <w:r>
        <w:rPr/>
        <w:t>seats</w:t>
      </w:r>
    </w:p>
    <w:p>
      <w:pPr>
        <w:pStyle w:val="BodyText"/>
        <w:tabs>
          <w:tab w:pos="3035" w:val="right" w:leader="none"/>
        </w:tabs>
        <w:spacing w:before="6"/>
      </w:pPr>
      <w:r>
        <w:rPr>
          <w:color w:val="231F20"/>
          <w:spacing w:val="-6"/>
          <w:w w:val="105"/>
        </w:rPr>
        <w:t>Toilets</w:t>
        <w:tab/>
      </w:r>
      <w:r>
        <w:rPr>
          <w:color w:val="231F20"/>
          <w:w w:val="105"/>
        </w:rPr>
        <w:t>1</w:t>
      </w:r>
    </w:p>
    <w:p>
      <w:pPr>
        <w:pStyle w:val="BodyText"/>
        <w:tabs>
          <w:tab w:pos="2972" w:val="left" w:leader="none"/>
        </w:tabs>
        <w:spacing w:before="6"/>
      </w:pPr>
      <w:r>
        <w:rPr>
          <w:color w:val="231F20"/>
          <w:spacing w:val="-3"/>
          <w:w w:val="105"/>
        </w:rPr>
        <w:t>Wheelchair</w:t>
      </w:r>
      <w:r>
        <w:rPr>
          <w:color w:val="231F20"/>
          <w:spacing w:val="-4"/>
          <w:w w:val="105"/>
        </w:rPr>
        <w:t> accessible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toilet</w:t>
        <w:tab/>
      </w:r>
      <w:r>
        <w:rPr>
          <w:color w:val="231F20"/>
          <w:spacing w:val="-5"/>
          <w:w w:val="105"/>
        </w:rPr>
        <w:t>No</w:t>
      </w:r>
    </w:p>
    <w:p>
      <w:pPr>
        <w:pStyle w:val="BodyText"/>
        <w:tabs>
          <w:tab w:pos="3077" w:val="right" w:leader="none"/>
        </w:tabs>
        <w:spacing w:before="6"/>
      </w:pPr>
      <w:r>
        <w:rPr>
          <w:color w:val="231F20"/>
          <w:spacing w:val="-3"/>
          <w:w w:val="105"/>
        </w:rPr>
        <w:t>Wheelchair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users’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4"/>
          <w:w w:val="105"/>
        </w:rPr>
        <w:t>space</w:t>
        <w:tab/>
      </w:r>
      <w:r>
        <w:rPr>
          <w:color w:val="231F20"/>
          <w:w w:val="105"/>
        </w:rPr>
        <w:t>2</w:t>
      </w:r>
    </w:p>
    <w:p>
      <w:pPr>
        <w:pStyle w:val="BodyText"/>
        <w:tabs>
          <w:tab w:pos="2972" w:val="left" w:leader="none"/>
        </w:tabs>
        <w:spacing w:before="6"/>
      </w:pPr>
      <w:r>
        <w:rPr>
          <w:color w:val="231F20"/>
          <w:w w:val="105"/>
        </w:rPr>
        <w:t>Priority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seating</w:t>
        <w:tab/>
      </w:r>
      <w:r>
        <w:rPr>
          <w:color w:val="231F20"/>
          <w:spacing w:val="-5"/>
          <w:w w:val="105"/>
        </w:rPr>
        <w:t>No</w:t>
      </w:r>
    </w:p>
    <w:p>
      <w:pPr>
        <w:pStyle w:val="BodyText"/>
        <w:tabs>
          <w:tab w:pos="3077" w:val="right" w:leader="none"/>
        </w:tabs>
        <w:spacing w:before="6"/>
      </w:pPr>
      <w:r>
        <w:rPr>
          <w:color w:val="231F20"/>
          <w:spacing w:val="-3"/>
          <w:w w:val="105"/>
        </w:rPr>
        <w:t>Bicycle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space</w:t>
        <w:tab/>
      </w:r>
      <w:r>
        <w:rPr>
          <w:color w:val="231F20"/>
          <w:w w:val="105"/>
        </w:rPr>
        <w:t>2</w:t>
      </w:r>
    </w:p>
    <w:p>
      <w:pPr>
        <w:pStyle w:val="BodyText"/>
        <w:tabs>
          <w:tab w:pos="2972" w:val="left" w:leader="none"/>
        </w:tabs>
        <w:spacing w:before="11"/>
      </w:pPr>
      <w:r>
        <w:rPr>
          <w:color w:val="231F20"/>
        </w:rPr>
        <w:t>On</w:t>
      </w:r>
      <w:r>
        <w:rPr>
          <w:color w:val="231F20"/>
          <w:spacing w:val="12"/>
        </w:rPr>
        <w:t> </w:t>
      </w:r>
      <w:r>
        <w:rPr>
          <w:color w:val="231F20"/>
        </w:rPr>
        <w:t>board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facilities</w:t>
        <w:tab/>
      </w:r>
      <w:r>
        <w:rPr>
          <w:color w:val="231F20"/>
        </w:rPr>
        <w:t>Public </w:t>
      </w:r>
      <w:r>
        <w:rPr>
          <w:color w:val="231F20"/>
          <w:spacing w:val="-3"/>
        </w:rPr>
        <w:t>address, </w:t>
      </w:r>
      <w:r>
        <w:rPr>
          <w:color w:val="231F20"/>
          <w:spacing w:val="-2"/>
        </w:rPr>
        <w:t>access </w:t>
      </w:r>
      <w:r>
        <w:rPr>
          <w:color w:val="231F20"/>
          <w:spacing w:val="-4"/>
        </w:rPr>
        <w:t>ramp, </w:t>
      </w:r>
      <w:r>
        <w:rPr>
          <w:color w:val="231F20"/>
        </w:rPr>
        <w:t>Wifi and push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button</w:t>
      </w:r>
    </w:p>
    <w:p>
      <w:pPr>
        <w:pStyle w:val="BodyText"/>
        <w:spacing w:line="247" w:lineRule="auto" w:before="6"/>
        <w:ind w:left="2972"/>
      </w:pPr>
      <w:r>
        <w:rPr>
          <w:color w:val="231F20"/>
        </w:rPr>
        <w:t>doors. These trains do not have visual information screens.</w:t>
      </w:r>
    </w:p>
    <w:p>
      <w:pPr>
        <w:pStyle w:val="BodyText"/>
        <w:tabs>
          <w:tab w:pos="2972" w:val="left" w:leader="none"/>
        </w:tabs>
        <w:spacing w:line="236" w:lineRule="exact"/>
      </w:pPr>
      <w:r>
        <w:rPr>
          <w:color w:val="231F20"/>
          <w:spacing w:val="-3"/>
        </w:rPr>
        <w:t>Routes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operated</w:t>
        <w:tab/>
      </w:r>
      <w:r>
        <w:rPr>
          <w:color w:val="231F20"/>
          <w:spacing w:val="-4"/>
        </w:rPr>
        <w:t>Cardiff </w:t>
      </w:r>
      <w:r>
        <w:rPr>
          <w:color w:val="231F20"/>
          <w:spacing w:val="-5"/>
        </w:rPr>
        <w:t>Valleys</w:t>
      </w:r>
      <w:r>
        <w:rPr>
          <w:color w:val="231F20"/>
          <w:spacing w:val="-14"/>
        </w:rPr>
        <w:t> </w:t>
      </w:r>
      <w:r>
        <w:rPr>
          <w:color w:val="231F20"/>
        </w:rPr>
        <w:t>network.</w:t>
      </w:r>
    </w:p>
    <w:p>
      <w:pPr>
        <w:pStyle w:val="BodyText"/>
        <w:spacing w:line="252" w:lineRule="auto" w:before="6"/>
        <w:ind w:left="2972" w:right="1234"/>
      </w:pPr>
      <w:r>
        <w:rPr>
          <w:color w:val="231F20"/>
        </w:rPr>
        <w:t>Cardiff to Swansea and West Wales. Cardiff to Ebbw Vale and Cheltenham.</w:t>
      </w:r>
    </w:p>
    <w:sectPr>
      <w:type w:val="continuous"/>
      <w:pgSz w:w="8380" w:h="11890"/>
      <w:pgMar w:top="56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ales Sans Body">
    <w:altName w:val="Wales Sans Bod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Wales Sans Body" w:hAnsi="Wales Sans Body" w:eastAsia="Wales Sans Body" w:cs="Wales Sans Body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Wales Sans Body" w:hAnsi="Wales Sans Body" w:eastAsia="Wales Sans Body" w:cs="Wales Sans Body"/>
      <w:sz w:val="20"/>
      <w:szCs w:val="20"/>
    </w:rPr>
  </w:style>
  <w:style w:styleId="Title" w:type="paragraph">
    <w:name w:val="Title"/>
    <w:basedOn w:val="Normal"/>
    <w:uiPriority w:val="1"/>
    <w:qFormat/>
    <w:pPr>
      <w:spacing w:before="92"/>
      <w:ind w:left="111"/>
    </w:pPr>
    <w:rPr>
      <w:rFonts w:ascii="Wales Sans Body" w:hAnsi="Wales Sans Body" w:eastAsia="Wales Sans Body" w:cs="Wales Sans Body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Resubmittion_TfW Fleet MRA 29062020.docx</dc:title>
  <dcterms:created xsi:type="dcterms:W3CDTF">2021-04-22T09:46:18Z</dcterms:created>
  <dcterms:modified xsi:type="dcterms:W3CDTF">2021-04-22T09:46:18Z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Word</vt:lpwstr>
  </property>
  <property fmtid="{D5CDD505-2E9C-101B-9397-08002B2CF9AE}" pid="4" name="LastSaved">
    <vt:filetime>2021-04-22T00:00:00Z</vt:filetime>
  </property>
</Properties>
</file>