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4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4605304" cy="29382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5304" cy="293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"/>
        <w:ind w:left="0"/>
        <w:rPr>
          <w:rFonts w:ascii="Times New Roman"/>
          <w:sz w:val="14"/>
        </w:rPr>
      </w:pPr>
    </w:p>
    <w:p>
      <w:pPr>
        <w:pStyle w:val="Title"/>
      </w:pPr>
      <w:r>
        <w:rPr>
          <w:color w:val="D2232A"/>
        </w:rPr>
        <w:t>Class 153</w:t>
      </w:r>
    </w:p>
    <w:p>
      <w:pPr>
        <w:pStyle w:val="BodyText"/>
        <w:tabs>
          <w:tab w:pos="2953" w:val="left" w:leader="none"/>
        </w:tabs>
        <w:spacing w:before="278"/>
      </w:pPr>
      <w:r>
        <w:rPr>
          <w:color w:val="231F20"/>
          <w:spacing w:val="-5"/>
        </w:rPr>
        <w:t>Type</w:t>
      </w:r>
      <w:r>
        <w:rPr>
          <w:color w:val="231F20"/>
          <w:spacing w:val="-3"/>
        </w:rPr>
        <w:t> </w:t>
      </w:r>
      <w:r>
        <w:rPr>
          <w:color w:val="231F20"/>
        </w:rPr>
        <w:t>of </w:t>
      </w:r>
      <w:r>
        <w:rPr>
          <w:color w:val="231F20"/>
          <w:spacing w:val="-4"/>
        </w:rPr>
        <w:t>train</w:t>
        <w:tab/>
      </w:r>
      <w:r>
        <w:rPr>
          <w:color w:val="231F20"/>
        </w:rPr>
        <w:t>Single carriage diesel</w:t>
      </w:r>
      <w:r>
        <w:rPr>
          <w:color w:val="231F20"/>
          <w:spacing w:val="-24"/>
        </w:rPr>
        <w:t> </w:t>
      </w:r>
      <w:r>
        <w:rPr>
          <w:color w:val="231F20"/>
        </w:rPr>
        <w:t>train</w:t>
      </w:r>
    </w:p>
    <w:p>
      <w:pPr>
        <w:pStyle w:val="BodyText"/>
        <w:tabs>
          <w:tab w:pos="2953" w:val="left" w:leader="none"/>
        </w:tabs>
      </w:pPr>
      <w:r>
        <w:rPr>
          <w:color w:val="231F20"/>
          <w:spacing w:val="-6"/>
        </w:rPr>
        <w:t>Year </w:t>
      </w:r>
      <w:r>
        <w:rPr>
          <w:color w:val="231F20"/>
        </w:rPr>
        <w:t>built</w:t>
        <w:tab/>
        <w:t>1987 / 1988</w:t>
      </w:r>
    </w:p>
    <w:p>
      <w:pPr>
        <w:pStyle w:val="BodyText"/>
        <w:tabs>
          <w:tab w:pos="3131" w:val="right" w:leader="none"/>
        </w:tabs>
      </w:pP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fleet</w:t>
        <w:tab/>
      </w:r>
      <w:r>
        <w:rPr/>
        <w:t>22</w:t>
      </w:r>
    </w:p>
    <w:p>
      <w:pPr>
        <w:pStyle w:val="BodyText"/>
        <w:tabs>
          <w:tab w:pos="2953" w:val="left" w:leader="none"/>
        </w:tabs>
      </w:pPr>
      <w:r>
        <w:rPr>
          <w:color w:val="231F20"/>
          <w:spacing w:val="-3"/>
        </w:rPr>
        <w:t>Seating</w:t>
      </w:r>
      <w:r>
        <w:rPr>
          <w:color w:val="231F20"/>
          <w:spacing w:val="-4"/>
        </w:rPr>
        <w:t> </w:t>
      </w:r>
      <w:r>
        <w:rPr>
          <w:color w:val="231F20"/>
        </w:rPr>
        <w:t>capacity</w:t>
        <w:tab/>
      </w:r>
      <w:r>
        <w:rPr/>
        <w:t>59 on </w:t>
      </w:r>
      <w:r>
        <w:rPr>
          <w:spacing w:val="-3"/>
        </w:rPr>
        <w:t>refurbished</w:t>
      </w:r>
      <w:r>
        <w:rPr>
          <w:spacing w:val="-12"/>
        </w:rPr>
        <w:t> </w:t>
      </w:r>
      <w:r>
        <w:rPr/>
        <w:t>fleet.</w:t>
      </w:r>
    </w:p>
    <w:p>
      <w:pPr>
        <w:pStyle w:val="BodyText"/>
        <w:ind w:left="2953"/>
      </w:pPr>
      <w:r>
        <w:rPr/>
        <w:t>72 on non refurbished fleet.</w:t>
      </w:r>
    </w:p>
    <w:p>
      <w:pPr>
        <w:pStyle w:val="BodyText"/>
        <w:spacing w:line="252" w:lineRule="auto"/>
        <w:ind w:left="2953" w:right="468"/>
      </w:pPr>
      <w:r>
        <w:rPr/>
        <w:t>Fleet</w:t>
      </w:r>
      <w:r>
        <w:rPr>
          <w:spacing w:val="-24"/>
        </w:rPr>
        <w:t> </w:t>
      </w:r>
      <w:r>
        <w:rPr>
          <w:spacing w:val="-3"/>
        </w:rPr>
        <w:t>refurbishment</w:t>
      </w:r>
      <w:r>
        <w:rPr>
          <w:spacing w:val="-20"/>
        </w:rPr>
        <w:t> </w:t>
      </w:r>
      <w:r>
        <w:rPr>
          <w:spacing w:val="-3"/>
        </w:rPr>
        <w:t>is</w:t>
      </w:r>
      <w:r>
        <w:rPr>
          <w:spacing w:val="-23"/>
        </w:rPr>
        <w:t> </w:t>
      </w:r>
      <w:r>
        <w:rPr>
          <w:spacing w:val="-3"/>
        </w:rPr>
        <w:t>currently</w:t>
      </w:r>
      <w:r>
        <w:rPr>
          <w:spacing w:val="-21"/>
        </w:rPr>
        <w:t> </w:t>
      </w:r>
      <w:r>
        <w:rPr>
          <w:spacing w:val="-3"/>
        </w:rPr>
        <w:t>in</w:t>
      </w:r>
      <w:r>
        <w:rPr>
          <w:spacing w:val="-24"/>
        </w:rPr>
        <w:t> </w:t>
      </w:r>
      <w:r>
        <w:rPr>
          <w:spacing w:val="-3"/>
        </w:rPr>
        <w:t>progress</w:t>
      </w:r>
      <w:r>
        <w:rPr>
          <w:spacing w:val="-22"/>
        </w:rPr>
        <w:t> </w:t>
      </w:r>
      <w:r>
        <w:rPr/>
        <w:t>and </w:t>
      </w:r>
      <w:r>
        <w:rPr>
          <w:spacing w:val="-4"/>
        </w:rPr>
        <w:t>due</w:t>
      </w:r>
      <w:r>
        <w:rPr>
          <w:spacing w:val="-16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11"/>
        </w:rPr>
        <w:t> </w:t>
      </w:r>
      <w:r>
        <w:rPr>
          <w:spacing w:val="-3"/>
        </w:rPr>
        <w:t>completed</w:t>
      </w:r>
      <w:r>
        <w:rPr>
          <w:spacing w:val="-15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4"/>
        </w:rPr>
        <w:t>August</w:t>
      </w:r>
      <w:r>
        <w:rPr>
          <w:spacing w:val="-13"/>
        </w:rPr>
        <w:t> </w:t>
      </w:r>
      <w:r>
        <w:rPr>
          <w:spacing w:val="-3"/>
        </w:rPr>
        <w:t>2020</w:t>
      </w:r>
      <w:r>
        <w:rPr>
          <w:spacing w:val="-14"/>
        </w:rPr>
        <w:t> </w:t>
      </w:r>
      <w:r>
        <w:rPr>
          <w:spacing w:val="-3"/>
        </w:rPr>
        <w:t>for</w:t>
      </w:r>
      <w:r>
        <w:rPr>
          <w:spacing w:val="-10"/>
        </w:rPr>
        <w:t> </w:t>
      </w:r>
      <w:r>
        <w:rPr/>
        <w:t>1</w:t>
      </w:r>
      <w:r>
        <w:rPr>
          <w:spacing w:val="-15"/>
        </w:rPr>
        <w:t> </w:t>
      </w:r>
      <w:r>
        <w:rPr>
          <w:spacing w:val="-4"/>
        </w:rPr>
        <w:t>units.</w:t>
      </w:r>
    </w:p>
    <w:p>
      <w:pPr>
        <w:pStyle w:val="BodyText"/>
        <w:tabs>
          <w:tab w:pos="2953" w:val="left" w:leader="none"/>
        </w:tabs>
        <w:spacing w:line="227" w:lineRule="exact" w:before="0"/>
      </w:pPr>
      <w:r>
        <w:rPr>
          <w:color w:val="231F20"/>
          <w:spacing w:val="-6"/>
        </w:rPr>
        <w:t>Toilets</w:t>
        <w:tab/>
      </w:r>
      <w:r>
        <w:rPr>
          <w:color w:val="231F20"/>
        </w:rPr>
        <w:t>1</w:t>
      </w:r>
    </w:p>
    <w:p>
      <w:pPr>
        <w:pStyle w:val="BodyText"/>
        <w:tabs>
          <w:tab w:pos="2953" w:val="left" w:leader="none"/>
        </w:tabs>
      </w:pPr>
      <w:r>
        <w:rPr>
          <w:color w:val="231F20"/>
          <w:spacing w:val="-3"/>
        </w:rPr>
        <w:t>Wheelchair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accessible</w:t>
      </w:r>
      <w:r>
        <w:rPr>
          <w:color w:val="231F20"/>
          <w:spacing w:val="4"/>
        </w:rPr>
        <w:t> </w:t>
      </w:r>
      <w:r>
        <w:rPr>
          <w:color w:val="231F20"/>
        </w:rPr>
        <w:t>toilet</w:t>
        <w:tab/>
        <w:t>None on the </w:t>
      </w:r>
      <w:r>
        <w:rPr>
          <w:color w:val="231F20"/>
          <w:spacing w:val="-3"/>
        </w:rPr>
        <w:t>non refurbished</w:t>
      </w:r>
      <w:r>
        <w:rPr>
          <w:color w:val="231F20"/>
          <w:spacing w:val="-33"/>
        </w:rPr>
        <w:t> </w:t>
      </w:r>
      <w:r>
        <w:rPr>
          <w:color w:val="231F20"/>
        </w:rPr>
        <w:t>fleet.</w:t>
      </w:r>
    </w:p>
    <w:p>
      <w:pPr>
        <w:pStyle w:val="BodyText"/>
        <w:spacing w:before="11"/>
        <w:ind w:left="2953"/>
      </w:pPr>
      <w:r>
        <w:rPr/>
        <w:t>1 </w:t>
      </w:r>
      <w:r>
        <w:rPr>
          <w:color w:val="231F20"/>
        </w:rPr>
        <w:t>on the refurbished fleet.</w:t>
      </w:r>
    </w:p>
    <w:p>
      <w:pPr>
        <w:pStyle w:val="BodyText"/>
        <w:tabs>
          <w:tab w:pos="2953" w:val="left" w:leader="none"/>
        </w:tabs>
      </w:pPr>
      <w:r>
        <w:rPr>
          <w:color w:val="231F20"/>
          <w:spacing w:val="-3"/>
        </w:rPr>
        <w:t>Wheelchair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users’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space</w:t>
        <w:tab/>
      </w:r>
      <w:r>
        <w:rPr>
          <w:color w:val="231F20"/>
        </w:rPr>
        <w:t>1 space on the </w:t>
      </w:r>
      <w:r>
        <w:rPr>
          <w:color w:val="231F20"/>
          <w:spacing w:val="-3"/>
        </w:rPr>
        <w:t>non refurbished</w:t>
      </w:r>
      <w:r>
        <w:rPr>
          <w:color w:val="231F20"/>
          <w:spacing w:val="-33"/>
        </w:rPr>
        <w:t> </w:t>
      </w:r>
      <w:r>
        <w:rPr>
          <w:color w:val="231F20"/>
        </w:rPr>
        <w:t>fleet</w:t>
      </w:r>
    </w:p>
    <w:p>
      <w:pPr>
        <w:pStyle w:val="BodyText"/>
        <w:ind w:left="2953"/>
      </w:pPr>
      <w:r>
        <w:rPr>
          <w:color w:val="231F20"/>
        </w:rPr>
        <w:t>1 spaces on the refurbished fleet.</w:t>
      </w:r>
    </w:p>
    <w:p>
      <w:pPr>
        <w:pStyle w:val="BodyText"/>
        <w:tabs>
          <w:tab w:pos="2953" w:val="left" w:leader="none"/>
        </w:tabs>
      </w:pPr>
      <w:r>
        <w:rPr>
          <w:color w:val="231F20"/>
        </w:rPr>
        <w:t>Priority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Seating</w:t>
        <w:tab/>
      </w:r>
      <w:r>
        <w:rPr>
          <w:color w:val="231F20"/>
        </w:rPr>
        <w:t>6</w:t>
      </w:r>
    </w:p>
    <w:p>
      <w:pPr>
        <w:pStyle w:val="BodyText"/>
        <w:tabs>
          <w:tab w:pos="2953" w:val="left" w:leader="none"/>
        </w:tabs>
        <w:spacing w:before="11"/>
      </w:pPr>
      <w:r>
        <w:rPr>
          <w:color w:val="231F20"/>
          <w:spacing w:val="-3"/>
        </w:rPr>
        <w:t>Bicycle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space</w:t>
        <w:tab/>
      </w:r>
      <w:r>
        <w:rPr>
          <w:color w:val="231F20"/>
        </w:rPr>
        <w:t>2</w:t>
      </w:r>
    </w:p>
    <w:p>
      <w:pPr>
        <w:pStyle w:val="BodyText"/>
        <w:tabs>
          <w:tab w:pos="2953" w:val="left" w:leader="none"/>
        </w:tabs>
      </w:pP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board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facilities</w:t>
        <w:tab/>
      </w:r>
      <w:r>
        <w:rPr>
          <w:color w:val="231F20"/>
        </w:rPr>
        <w:t>Public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address,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visual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information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screens*,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access</w:t>
      </w:r>
    </w:p>
    <w:p>
      <w:pPr>
        <w:pStyle w:val="BodyText"/>
        <w:ind w:left="2953"/>
      </w:pPr>
      <w:r>
        <w:rPr>
          <w:color w:val="231F20"/>
        </w:rPr>
        <w:t>ramp, Wifi, power points* and push button doors.</w:t>
      </w:r>
    </w:p>
    <w:p>
      <w:pPr>
        <w:pStyle w:val="BodyText"/>
        <w:ind w:left="2953"/>
      </w:pPr>
      <w:r>
        <w:rPr>
          <w:color w:val="231F20"/>
        </w:rPr>
        <w:t>*Available on the refurbished fleet.</w:t>
      </w:r>
    </w:p>
    <w:p>
      <w:pPr>
        <w:pStyle w:val="BodyText"/>
        <w:tabs>
          <w:tab w:pos="2953" w:val="left" w:leader="none"/>
        </w:tabs>
      </w:pPr>
      <w:r>
        <w:rPr>
          <w:color w:val="231F20"/>
          <w:spacing w:val="-3"/>
        </w:rPr>
        <w:t>Routes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operated</w:t>
        <w:tab/>
      </w:r>
      <w:r>
        <w:rPr>
          <w:color w:val="231F20"/>
          <w:spacing w:val="-3"/>
        </w:rPr>
        <w:t>Swansea </w:t>
      </w:r>
      <w:r>
        <w:rPr>
          <w:color w:val="231F20"/>
        </w:rPr>
        <w:t>to </w:t>
      </w:r>
      <w:r>
        <w:rPr>
          <w:color w:val="231F20"/>
          <w:spacing w:val="-3"/>
        </w:rPr>
        <w:t>Shrewsbury </w:t>
      </w:r>
      <w:r>
        <w:rPr>
          <w:color w:val="231F20"/>
        </w:rPr>
        <w:t>via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Llandovery.</w:t>
      </w:r>
    </w:p>
    <w:p>
      <w:pPr>
        <w:pStyle w:val="BodyText"/>
        <w:spacing w:line="249" w:lineRule="auto"/>
        <w:ind w:left="2953" w:right="935"/>
      </w:pPr>
      <w:r>
        <w:rPr>
          <w:color w:val="231F20"/>
          <w:spacing w:val="-4"/>
        </w:rPr>
        <w:t>Cardiff </w:t>
      </w:r>
      <w:r>
        <w:rPr>
          <w:color w:val="231F20"/>
        </w:rPr>
        <w:t>to </w:t>
      </w:r>
      <w:r>
        <w:rPr>
          <w:color w:val="231F20"/>
          <w:spacing w:val="-3"/>
        </w:rPr>
        <w:t>Swansea </w:t>
      </w:r>
      <w:r>
        <w:rPr>
          <w:color w:val="231F20"/>
        </w:rPr>
        <w:t>and </w:t>
      </w:r>
      <w:r>
        <w:rPr>
          <w:color w:val="231F20"/>
          <w:spacing w:val="-5"/>
        </w:rPr>
        <w:t>West Wales. </w:t>
      </w:r>
      <w:r>
        <w:rPr>
          <w:color w:val="231F20"/>
          <w:spacing w:val="-3"/>
        </w:rPr>
        <w:t>Llandudno</w:t>
      </w:r>
      <w:r>
        <w:rPr>
          <w:color w:val="231F20"/>
          <w:spacing w:val="-28"/>
        </w:rPr>
        <w:t> </w:t>
      </w:r>
      <w:r>
        <w:rPr>
          <w:color w:val="231F20"/>
        </w:rPr>
        <w:t>Junction</w:t>
      </w:r>
      <w:r>
        <w:rPr>
          <w:color w:val="231F20"/>
          <w:spacing w:val="-29"/>
        </w:rPr>
        <w:t> </w:t>
      </w:r>
      <w:r>
        <w:rPr>
          <w:color w:val="231F20"/>
        </w:rPr>
        <w:t>to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Blaenau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Ffestiniog. </w:t>
      </w:r>
      <w:r>
        <w:rPr>
          <w:color w:val="231F20"/>
        </w:rPr>
        <w:t>Coryton to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Radyr.</w:t>
      </w:r>
    </w:p>
    <w:p>
      <w:pPr>
        <w:pStyle w:val="BodyText"/>
        <w:spacing w:line="233" w:lineRule="exact" w:before="0"/>
        <w:ind w:left="2953"/>
      </w:pPr>
      <w:r>
        <w:rPr>
          <w:color w:val="231F20"/>
        </w:rPr>
        <w:t>Cardiff Queen Street to Cardiff Bay.</w:t>
      </w:r>
    </w:p>
    <w:sectPr>
      <w:type w:val="continuous"/>
      <w:pgSz w:w="8380" w:h="11890"/>
      <w:pgMar w:top="560" w:bottom="280" w:left="4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ales Sans Body">
    <w:altName w:val="Wales Sans Bod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Wales Sans Body" w:hAnsi="Wales Sans Body" w:eastAsia="Wales Sans Body" w:cs="Wales Sans Body"/>
    </w:rPr>
  </w:style>
  <w:style w:styleId="BodyText" w:type="paragraph">
    <w:name w:val="Body Text"/>
    <w:basedOn w:val="Normal"/>
    <w:uiPriority w:val="1"/>
    <w:qFormat/>
    <w:pPr>
      <w:spacing w:before="6"/>
      <w:ind w:left="111"/>
    </w:pPr>
    <w:rPr>
      <w:rFonts w:ascii="Wales Sans Body" w:hAnsi="Wales Sans Body" w:eastAsia="Wales Sans Body" w:cs="Wales Sans Body"/>
      <w:sz w:val="20"/>
      <w:szCs w:val="20"/>
    </w:rPr>
  </w:style>
  <w:style w:styleId="Title" w:type="paragraph">
    <w:name w:val="Title"/>
    <w:basedOn w:val="Normal"/>
    <w:uiPriority w:val="1"/>
    <w:qFormat/>
    <w:pPr>
      <w:spacing w:before="92"/>
      <w:ind w:left="111"/>
    </w:pPr>
    <w:rPr>
      <w:rFonts w:ascii="Wales Sans Body" w:hAnsi="Wales Sans Body" w:eastAsia="Wales Sans Body" w:cs="Wales Sans Body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Resubmittion_TfW Fleet MRA 29062020.docx</dc:title>
  <dcterms:created xsi:type="dcterms:W3CDTF">2021-04-22T09:49:10Z</dcterms:created>
  <dcterms:modified xsi:type="dcterms:W3CDTF">2021-04-22T09:49:10Z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Word</vt:lpwstr>
  </property>
  <property fmtid="{D5CDD505-2E9C-101B-9397-08002B2CF9AE}" pid="4" name="LastSaved">
    <vt:filetime>2021-04-22T00:00:00Z</vt:filetime>
  </property>
</Properties>
</file>