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386E4E90"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F2D0C">
        <w:rPr>
          <w:rStyle w:val="normaltextrun"/>
          <w:rFonts w:ascii="Calibri" w:hAnsi="Calibri" w:cs="Calibri"/>
          <w:sz w:val="22"/>
          <w:szCs w:val="22"/>
        </w:rPr>
        <w:t>1</w:t>
      </w:r>
      <w:r w:rsidR="006D0A87">
        <w:rPr>
          <w:rStyle w:val="normaltextrun"/>
          <w:rFonts w:ascii="Calibri" w:hAnsi="Calibri" w:cs="Calibri"/>
          <w:sz w:val="22"/>
          <w:szCs w:val="22"/>
        </w:rPr>
        <w:t>9</w:t>
      </w:r>
      <w:r w:rsidR="004F2D0C">
        <w:rPr>
          <w:rStyle w:val="normaltextrun"/>
          <w:rFonts w:ascii="Calibri" w:hAnsi="Calibri" w:cs="Calibri"/>
          <w:sz w:val="22"/>
          <w:szCs w:val="22"/>
        </w:rPr>
        <w:t xml:space="preserve"> </w:t>
      </w:r>
      <w:r w:rsidR="006D0A87">
        <w:rPr>
          <w:rStyle w:val="normaltextrun"/>
          <w:rFonts w:ascii="Calibri" w:hAnsi="Calibri" w:cs="Calibri"/>
          <w:sz w:val="22"/>
          <w:szCs w:val="22"/>
        </w:rPr>
        <w:t>April</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7953E046" w14:textId="54256B6A" w:rsidR="00DC5A1B" w:rsidRPr="00DC5A1B" w:rsidRDefault="00DC5A1B" w:rsidP="00DC5A1B">
      <w:pPr>
        <w:ind w:left="567" w:right="1088"/>
        <w:jc w:val="both"/>
        <w:rPr>
          <w:i/>
          <w:iCs/>
        </w:rPr>
      </w:pPr>
      <w:r w:rsidRPr="00DC5A1B">
        <w:rPr>
          <w:i/>
          <w:iCs/>
        </w:rPr>
        <w:t>“Can we request how the successful contractor has demonstrated their competence and third party certification as set out within the tender package on Sell 2 Wales Ref - JAN385549 TFWRL Fire Risk Assessments Volume 5 - Scope of work?</w:t>
      </w:r>
    </w:p>
    <w:p w14:paraId="3E0086FA" w14:textId="3ADFCFB1" w:rsidR="00DC5A1B" w:rsidRPr="00DC5A1B" w:rsidRDefault="00DC5A1B" w:rsidP="00DC5A1B">
      <w:pPr>
        <w:ind w:left="567" w:right="1088"/>
        <w:jc w:val="both"/>
        <w:rPr>
          <w:i/>
          <w:iCs/>
        </w:rPr>
      </w:pPr>
      <w:r w:rsidRPr="00DC5A1B">
        <w:rPr>
          <w:i/>
          <w:iCs/>
        </w:rPr>
        <w:t>We pay out a significant amount on our Certification through BAFE SP205 life safety fire risk assessment &amp; BAFE SP101 Fire extinguisher schemes, this ensures when appointing a competent contractor there is a reasonable assurance of their work. The contractor awarded does not advertise that they carry out either fire risk assessment and do not appear on the BAFE register for either of the 2 services tendered.”</w:t>
      </w:r>
    </w:p>
    <w:p w14:paraId="135C95D1" w14:textId="77777777" w:rsidR="00273FBE" w:rsidRDefault="00273FBE" w:rsidP="00962DA6">
      <w:pPr>
        <w:spacing w:after="0"/>
      </w:pPr>
    </w:p>
    <w:p w14:paraId="0C982803" w14:textId="77777777" w:rsidR="008142C8" w:rsidRPr="00C12136" w:rsidRDefault="008142C8" w:rsidP="00C12136">
      <w:pPr>
        <w:spacing w:after="0"/>
        <w:rPr>
          <w:b/>
          <w:bCs/>
        </w:rPr>
      </w:pPr>
      <w:r w:rsidRPr="00C12136">
        <w:rPr>
          <w:b/>
          <w:bCs/>
        </w:rPr>
        <w:t>Having reviewed your questions, we are able to provide the following information:</w:t>
      </w:r>
    </w:p>
    <w:p w14:paraId="2C2B1A2E" w14:textId="2F6D8FE6" w:rsidR="008142C8" w:rsidRPr="00C12136" w:rsidRDefault="008142C8" w:rsidP="00C12136">
      <w:pPr>
        <w:spacing w:after="0"/>
      </w:pPr>
    </w:p>
    <w:p w14:paraId="2C4FE168" w14:textId="1F803AA5" w:rsidR="00C12136" w:rsidRPr="00C12136" w:rsidRDefault="00C12136" w:rsidP="00BF1D5D">
      <w:pPr>
        <w:spacing w:after="0"/>
        <w:jc w:val="both"/>
      </w:pPr>
      <w:r w:rsidRPr="00C12136">
        <w:t xml:space="preserve">The Invitation to Tender (ITT) was carried out in accordance with the process set out in </w:t>
      </w:r>
      <w:r w:rsidR="00E250FE">
        <w:t>‘</w:t>
      </w:r>
      <w:r w:rsidR="00921401">
        <w:t>V</w:t>
      </w:r>
      <w:r w:rsidRPr="00C12136">
        <w:t>olume 1 – Instructions and requirements</w:t>
      </w:r>
      <w:r w:rsidR="00E250FE">
        <w:t>’</w:t>
      </w:r>
      <w:r w:rsidRPr="00C12136">
        <w:t>. This document was issued as part of the tender package.</w:t>
      </w:r>
      <w:r w:rsidR="009D3775">
        <w:t xml:space="preserve"> </w:t>
      </w:r>
      <w:r w:rsidRPr="00C12136">
        <w:t xml:space="preserve">The </w:t>
      </w:r>
      <w:r w:rsidR="00921401">
        <w:t>t</w:t>
      </w:r>
      <w:r w:rsidRPr="00C12136">
        <w:t>ender assessment was carried out by a cross</w:t>
      </w:r>
      <w:r w:rsidR="00921401">
        <w:t>-</w:t>
      </w:r>
      <w:r w:rsidRPr="00C12136">
        <w:t>functional team who reviewed both commercial and operational aspects of the submissions.</w:t>
      </w:r>
      <w:r w:rsidR="009D3775">
        <w:t xml:space="preserve"> </w:t>
      </w:r>
      <w:r w:rsidRPr="00C12136">
        <w:t>Each supplier was asked to respond to the questions</w:t>
      </w:r>
      <w:r w:rsidR="00E849A6">
        <w:t xml:space="preserve"> in order to meet the criteria</w:t>
      </w:r>
      <w:r w:rsidRPr="00C12136">
        <w:t xml:space="preserve"> set out in the table below</w:t>
      </w:r>
      <w:r w:rsidR="00F576F2">
        <w:t xml:space="preserve"> (fig.1)</w:t>
      </w:r>
      <w:r w:rsidRPr="00C12136">
        <w:t xml:space="preserve"> and scores</w:t>
      </w:r>
      <w:r w:rsidR="00F576F2">
        <w:t xml:space="preserve"> were</w:t>
      </w:r>
      <w:r w:rsidRPr="00C12136">
        <w:t xml:space="preserve"> awarded accordingly.</w:t>
      </w:r>
    </w:p>
    <w:p w14:paraId="5F0C19A1" w14:textId="77777777" w:rsidR="00C12136" w:rsidRDefault="00C12136" w:rsidP="00C12136">
      <w:pPr>
        <w:spacing w:after="0"/>
      </w:pPr>
    </w:p>
    <w:p w14:paraId="67C7ABD8" w14:textId="38747424" w:rsidR="00F576F2" w:rsidRPr="00F576F2" w:rsidRDefault="00F576F2" w:rsidP="00C12136">
      <w:pPr>
        <w:spacing w:after="0"/>
        <w:rPr>
          <w:b/>
          <w:bCs/>
        </w:rPr>
      </w:pPr>
      <w:r>
        <w:rPr>
          <w:b/>
          <w:bCs/>
        </w:rPr>
        <w:t>Fig.1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
        <w:gridCol w:w="4252"/>
        <w:gridCol w:w="1276"/>
      </w:tblGrid>
      <w:tr w:rsidR="0084551D" w14:paraId="4B9B3705" w14:textId="77777777" w:rsidTr="0084551D">
        <w:tc>
          <w:tcPr>
            <w:tcW w:w="718" w:type="dxa"/>
            <w:tcBorders>
              <w:top w:val="single" w:sz="8" w:space="0" w:color="auto"/>
              <w:left w:val="single" w:sz="8" w:space="0" w:color="auto"/>
              <w:bottom w:val="single" w:sz="8" w:space="0" w:color="auto"/>
              <w:right w:val="single" w:sz="8" w:space="0" w:color="auto"/>
            </w:tcBorders>
            <w:shd w:val="clear" w:color="auto" w:fill="FF0000"/>
            <w:tcMar>
              <w:top w:w="15" w:type="dxa"/>
              <w:left w:w="15" w:type="dxa"/>
              <w:bottom w:w="15" w:type="dxa"/>
              <w:right w:w="15" w:type="dxa"/>
            </w:tcMar>
            <w:vAlign w:val="center"/>
            <w:hideMark/>
          </w:tcPr>
          <w:p w14:paraId="36C7E21C" w14:textId="77777777" w:rsidR="0084551D" w:rsidRPr="0084551D" w:rsidRDefault="0084551D" w:rsidP="0084551D">
            <w:pPr>
              <w:spacing w:after="0"/>
              <w:jc w:val="center"/>
              <w:textAlignment w:val="baseline"/>
              <w:rPr>
                <w:rFonts w:ascii="Times New Roman" w:hAnsi="Times New Roman" w:cs="Times New Roman"/>
                <w:color w:val="FFFFFF" w:themeColor="background1"/>
              </w:rPr>
            </w:pPr>
            <w:r w:rsidRPr="0084551D">
              <w:rPr>
                <w:b/>
                <w:bCs/>
                <w:color w:val="FFFFFF" w:themeColor="background1"/>
              </w:rPr>
              <w:t>Ref</w:t>
            </w:r>
          </w:p>
        </w:tc>
        <w:tc>
          <w:tcPr>
            <w:tcW w:w="4252" w:type="dxa"/>
            <w:tcBorders>
              <w:top w:val="single" w:sz="8" w:space="0" w:color="auto"/>
              <w:left w:val="nil"/>
              <w:bottom w:val="single" w:sz="8" w:space="0" w:color="auto"/>
              <w:right w:val="single" w:sz="8" w:space="0" w:color="auto"/>
            </w:tcBorders>
            <w:shd w:val="clear" w:color="auto" w:fill="FF0000"/>
            <w:tcMar>
              <w:top w:w="15" w:type="dxa"/>
              <w:left w:w="15" w:type="dxa"/>
              <w:bottom w:w="15" w:type="dxa"/>
              <w:right w:w="15" w:type="dxa"/>
            </w:tcMar>
            <w:vAlign w:val="center"/>
            <w:hideMark/>
          </w:tcPr>
          <w:p w14:paraId="2D3A1D3F" w14:textId="77777777" w:rsidR="0084551D" w:rsidRPr="0084551D" w:rsidRDefault="0084551D" w:rsidP="0084551D">
            <w:pPr>
              <w:spacing w:after="0"/>
              <w:textAlignment w:val="baseline"/>
              <w:rPr>
                <w:rFonts w:ascii="Times New Roman" w:hAnsi="Times New Roman" w:cs="Times New Roman"/>
              </w:rPr>
            </w:pPr>
            <w:r w:rsidRPr="0084551D">
              <w:rPr>
                <w:b/>
                <w:bCs/>
                <w:color w:val="FFFFFF"/>
              </w:rPr>
              <w:t>Criteria</w:t>
            </w:r>
            <w:r w:rsidRPr="0084551D">
              <w:rPr>
                <w:color w:val="FFFFFF"/>
              </w:rPr>
              <w:t> </w:t>
            </w:r>
          </w:p>
        </w:tc>
        <w:tc>
          <w:tcPr>
            <w:tcW w:w="1276" w:type="dxa"/>
            <w:tcBorders>
              <w:top w:val="single" w:sz="8" w:space="0" w:color="auto"/>
              <w:left w:val="nil"/>
              <w:bottom w:val="single" w:sz="8" w:space="0" w:color="auto"/>
              <w:right w:val="single" w:sz="8" w:space="0" w:color="auto"/>
            </w:tcBorders>
            <w:shd w:val="clear" w:color="auto" w:fill="FF0000"/>
            <w:tcMar>
              <w:top w:w="15" w:type="dxa"/>
              <w:left w:w="15" w:type="dxa"/>
              <w:bottom w:w="15" w:type="dxa"/>
              <w:right w:w="15" w:type="dxa"/>
            </w:tcMar>
            <w:vAlign w:val="center"/>
            <w:hideMark/>
          </w:tcPr>
          <w:p w14:paraId="2980C1E5" w14:textId="77777777" w:rsidR="0084551D" w:rsidRPr="0084551D" w:rsidRDefault="0084551D" w:rsidP="0084551D">
            <w:pPr>
              <w:spacing w:after="0"/>
              <w:jc w:val="center"/>
              <w:textAlignment w:val="baseline"/>
              <w:rPr>
                <w:rFonts w:ascii="Times New Roman" w:hAnsi="Times New Roman" w:cs="Times New Roman"/>
              </w:rPr>
            </w:pPr>
            <w:r w:rsidRPr="0084551D">
              <w:rPr>
                <w:b/>
                <w:bCs/>
                <w:color w:val="FFFFFF"/>
              </w:rPr>
              <w:t>Weighting</w:t>
            </w:r>
          </w:p>
        </w:tc>
      </w:tr>
      <w:tr w:rsidR="0084551D" w14:paraId="38765C8B" w14:textId="77777777" w:rsidTr="0084551D">
        <w:trPr>
          <w:trHeight w:val="262"/>
        </w:trPr>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C9AA9F0" w14:textId="77777777" w:rsidR="0084551D" w:rsidRPr="0084551D" w:rsidRDefault="0084551D" w:rsidP="0084551D">
            <w:pPr>
              <w:spacing w:after="0"/>
              <w:jc w:val="center"/>
              <w:textAlignment w:val="baseline"/>
              <w:rPr>
                <w:rFonts w:ascii="Calibri" w:hAnsi="Calibri" w:cs="Calibri"/>
                <w:i/>
                <w:iCs/>
              </w:rPr>
            </w:pPr>
            <w:r w:rsidRPr="0084551D">
              <w:rPr>
                <w:i/>
                <w:iCs/>
              </w:rPr>
              <w:t>D1</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4761DF9" w14:textId="77777777" w:rsidR="0084551D" w:rsidRPr="0084551D" w:rsidRDefault="0084551D" w:rsidP="0084551D">
            <w:pPr>
              <w:spacing w:after="0"/>
              <w:ind w:left="148"/>
              <w:textAlignment w:val="baseline"/>
              <w:rPr>
                <w:i/>
                <w:iCs/>
              </w:rPr>
            </w:pPr>
            <w:r w:rsidRPr="0084551D">
              <w:rPr>
                <w:i/>
                <w:iCs/>
              </w:rPr>
              <w:t>Methodology</w:t>
            </w:r>
          </w:p>
        </w:tc>
        <w:tc>
          <w:tcPr>
            <w:tcW w:w="127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268C5BA" w14:textId="77777777" w:rsidR="0084551D" w:rsidRPr="0084551D" w:rsidRDefault="0084551D" w:rsidP="0084551D">
            <w:pPr>
              <w:spacing w:after="0"/>
              <w:jc w:val="center"/>
              <w:textAlignment w:val="baseline"/>
              <w:rPr>
                <w:i/>
                <w:iCs/>
              </w:rPr>
            </w:pPr>
            <w:r w:rsidRPr="0084551D">
              <w:rPr>
                <w:i/>
                <w:iCs/>
              </w:rPr>
              <w:t>45%</w:t>
            </w:r>
          </w:p>
        </w:tc>
      </w:tr>
      <w:tr w:rsidR="0084551D" w14:paraId="71CF34EB" w14:textId="77777777" w:rsidTr="0084551D">
        <w:trPr>
          <w:trHeight w:val="351"/>
        </w:trPr>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FC91099" w14:textId="77777777" w:rsidR="0084551D" w:rsidRPr="0084551D" w:rsidRDefault="0084551D" w:rsidP="0084551D">
            <w:pPr>
              <w:spacing w:after="0"/>
              <w:jc w:val="center"/>
              <w:textAlignment w:val="baseline"/>
              <w:rPr>
                <w:rFonts w:ascii="Times New Roman" w:hAnsi="Times New Roman" w:cs="Times New Roman"/>
                <w:i/>
                <w:iCs/>
              </w:rPr>
            </w:pPr>
            <w:r w:rsidRPr="0084551D">
              <w:rPr>
                <w:i/>
                <w:iCs/>
              </w:rPr>
              <w:t>D2</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F8E77BA" w14:textId="77777777" w:rsidR="0084551D" w:rsidRPr="0084551D" w:rsidRDefault="0084551D" w:rsidP="0084551D">
            <w:pPr>
              <w:spacing w:after="0"/>
              <w:ind w:left="148"/>
              <w:textAlignment w:val="baseline"/>
              <w:rPr>
                <w:rFonts w:ascii="Calibri" w:hAnsi="Calibri" w:cs="Calibri"/>
                <w:i/>
                <w:iCs/>
              </w:rPr>
            </w:pPr>
            <w:r w:rsidRPr="0084551D">
              <w:rPr>
                <w:i/>
                <w:iCs/>
              </w:rPr>
              <w:t>Health, Safety and Wellbeing</w:t>
            </w:r>
          </w:p>
        </w:tc>
        <w:tc>
          <w:tcPr>
            <w:tcW w:w="127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793F29D" w14:textId="77777777" w:rsidR="0084551D" w:rsidRPr="0084551D" w:rsidRDefault="0084551D" w:rsidP="0084551D">
            <w:pPr>
              <w:spacing w:after="0"/>
              <w:jc w:val="center"/>
              <w:textAlignment w:val="baseline"/>
              <w:rPr>
                <w:i/>
                <w:iCs/>
              </w:rPr>
            </w:pPr>
            <w:r w:rsidRPr="0084551D">
              <w:rPr>
                <w:i/>
                <w:iCs/>
              </w:rPr>
              <w:t>25%</w:t>
            </w:r>
          </w:p>
        </w:tc>
      </w:tr>
      <w:tr w:rsidR="0084551D" w14:paraId="15E07A5A" w14:textId="77777777" w:rsidTr="0084551D">
        <w:trPr>
          <w:trHeight w:val="244"/>
        </w:trPr>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52E0AF1" w14:textId="77777777" w:rsidR="0084551D" w:rsidRPr="0084551D" w:rsidRDefault="0084551D" w:rsidP="0084551D">
            <w:pPr>
              <w:spacing w:after="0"/>
              <w:jc w:val="center"/>
              <w:textAlignment w:val="baseline"/>
              <w:rPr>
                <w:rFonts w:ascii="Times New Roman" w:hAnsi="Times New Roman" w:cs="Times New Roman"/>
                <w:i/>
                <w:iCs/>
              </w:rPr>
            </w:pPr>
            <w:r w:rsidRPr="0084551D">
              <w:rPr>
                <w:i/>
                <w:iCs/>
              </w:rPr>
              <w:t>D3</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26684DC" w14:textId="77777777" w:rsidR="0084551D" w:rsidRPr="0084551D" w:rsidRDefault="0084551D" w:rsidP="0084551D">
            <w:pPr>
              <w:spacing w:after="0"/>
              <w:ind w:left="148"/>
              <w:textAlignment w:val="baseline"/>
              <w:rPr>
                <w:rFonts w:ascii="Calibri" w:hAnsi="Calibri" w:cs="Calibri"/>
                <w:i/>
                <w:iCs/>
              </w:rPr>
            </w:pPr>
            <w:r w:rsidRPr="0084551D">
              <w:rPr>
                <w:i/>
                <w:iCs/>
              </w:rPr>
              <w:t>Contractor’s Sustainability Policy / Procedure</w:t>
            </w:r>
          </w:p>
        </w:tc>
        <w:tc>
          <w:tcPr>
            <w:tcW w:w="127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203C66F" w14:textId="77777777" w:rsidR="0084551D" w:rsidRPr="0084551D" w:rsidRDefault="0084551D" w:rsidP="0084551D">
            <w:pPr>
              <w:spacing w:after="0"/>
              <w:jc w:val="center"/>
              <w:textAlignment w:val="baseline"/>
              <w:rPr>
                <w:i/>
                <w:iCs/>
              </w:rPr>
            </w:pPr>
            <w:r w:rsidRPr="0084551D">
              <w:rPr>
                <w:i/>
                <w:iCs/>
              </w:rPr>
              <w:t>20%</w:t>
            </w:r>
          </w:p>
        </w:tc>
      </w:tr>
      <w:tr w:rsidR="0084551D" w14:paraId="2C83E8E5" w14:textId="77777777" w:rsidTr="0084551D">
        <w:trPr>
          <w:trHeight w:val="244"/>
        </w:trPr>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FC28312" w14:textId="77777777" w:rsidR="0084551D" w:rsidRPr="0084551D" w:rsidRDefault="0084551D" w:rsidP="0084551D">
            <w:pPr>
              <w:spacing w:after="0"/>
              <w:jc w:val="center"/>
              <w:textAlignment w:val="baseline"/>
              <w:rPr>
                <w:i/>
                <w:iCs/>
              </w:rPr>
            </w:pPr>
            <w:r w:rsidRPr="0084551D">
              <w:rPr>
                <w:i/>
                <w:iCs/>
              </w:rPr>
              <w:t>D4</w:t>
            </w: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42B221B" w14:textId="77777777" w:rsidR="0084551D" w:rsidRPr="0084551D" w:rsidRDefault="0084551D" w:rsidP="0084551D">
            <w:pPr>
              <w:spacing w:after="0"/>
              <w:ind w:left="148"/>
              <w:textAlignment w:val="baseline"/>
              <w:rPr>
                <w:i/>
                <w:iCs/>
              </w:rPr>
            </w:pPr>
            <w:r w:rsidRPr="0084551D">
              <w:rPr>
                <w:i/>
                <w:iCs/>
              </w:rPr>
              <w:t>Previous experience</w:t>
            </w:r>
          </w:p>
        </w:tc>
        <w:tc>
          <w:tcPr>
            <w:tcW w:w="127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5C8341C" w14:textId="77777777" w:rsidR="0084551D" w:rsidRPr="0084551D" w:rsidRDefault="0084551D" w:rsidP="0084551D">
            <w:pPr>
              <w:spacing w:after="0"/>
              <w:jc w:val="center"/>
              <w:textAlignment w:val="baseline"/>
              <w:rPr>
                <w:i/>
                <w:iCs/>
              </w:rPr>
            </w:pPr>
            <w:r w:rsidRPr="0084551D">
              <w:rPr>
                <w:i/>
                <w:iCs/>
              </w:rPr>
              <w:t>10%</w:t>
            </w:r>
          </w:p>
        </w:tc>
      </w:tr>
      <w:tr w:rsidR="0084551D" w14:paraId="61CC8A17" w14:textId="77777777" w:rsidTr="0084551D">
        <w:trPr>
          <w:trHeight w:val="65"/>
        </w:trPr>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5B8A610C" w14:textId="77777777" w:rsidR="0084551D" w:rsidRPr="0084551D" w:rsidRDefault="0084551D" w:rsidP="0084551D">
            <w:pPr>
              <w:spacing w:after="0"/>
              <w:jc w:val="center"/>
              <w:textAlignment w:val="baseline"/>
              <w:rPr>
                <w:i/>
                <w:iCs/>
              </w:rPr>
            </w:pPr>
          </w:p>
        </w:tc>
        <w:tc>
          <w:tcPr>
            <w:tcW w:w="42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6B9EA9D" w14:textId="77777777" w:rsidR="0084551D" w:rsidRPr="0084551D" w:rsidRDefault="0084551D" w:rsidP="0084551D">
            <w:pPr>
              <w:spacing w:after="0"/>
              <w:ind w:left="148"/>
              <w:textAlignment w:val="baseline"/>
              <w:rPr>
                <w:i/>
                <w:iCs/>
              </w:rPr>
            </w:pPr>
            <w:r w:rsidRPr="0084551D">
              <w:rPr>
                <w:b/>
                <w:bCs/>
                <w:i/>
                <w:iCs/>
              </w:rPr>
              <w:t>Total</w:t>
            </w:r>
          </w:p>
        </w:tc>
        <w:tc>
          <w:tcPr>
            <w:tcW w:w="127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56A8066" w14:textId="77777777" w:rsidR="0084551D" w:rsidRPr="0084551D" w:rsidRDefault="0084551D" w:rsidP="0084551D">
            <w:pPr>
              <w:spacing w:after="0"/>
              <w:jc w:val="center"/>
              <w:textAlignment w:val="baseline"/>
              <w:rPr>
                <w:i/>
                <w:iCs/>
              </w:rPr>
            </w:pPr>
            <w:r w:rsidRPr="0084551D">
              <w:rPr>
                <w:b/>
                <w:bCs/>
                <w:i/>
                <w:iCs/>
              </w:rPr>
              <w:t>100%</w:t>
            </w:r>
          </w:p>
        </w:tc>
      </w:tr>
    </w:tbl>
    <w:p w14:paraId="352F24A7" w14:textId="77777777" w:rsidR="0084551D" w:rsidRPr="00C12136" w:rsidRDefault="0084551D" w:rsidP="00C12136">
      <w:pPr>
        <w:spacing w:after="0"/>
      </w:pPr>
    </w:p>
    <w:p w14:paraId="1FED988B" w14:textId="570F8C46" w:rsidR="00B67685" w:rsidRDefault="006D01F7" w:rsidP="002079AD">
      <w:pPr>
        <w:spacing w:after="0"/>
        <w:jc w:val="both"/>
      </w:pPr>
      <w:r w:rsidRPr="006D01F7">
        <w:t>The Assessment team were satisfied that the selected supplier demonstrated their competence to the required level</w:t>
      </w:r>
      <w:r w:rsidR="006725CF">
        <w:t xml:space="preserve"> in order</w:t>
      </w:r>
      <w:r w:rsidRPr="006D01F7">
        <w:t xml:space="preserve"> to award the contract.</w:t>
      </w:r>
      <w:r w:rsidR="009D3775">
        <w:t xml:space="preserve"> The </w:t>
      </w:r>
      <w:r w:rsidR="009447C8">
        <w:t xml:space="preserve">content of </w:t>
      </w:r>
      <w:r w:rsidR="00F25F9E">
        <w:t>the winning tender submission</w:t>
      </w:r>
      <w:r w:rsidR="00DE7E61">
        <w:t xml:space="preserve"> </w:t>
      </w:r>
      <w:r w:rsidR="00806251">
        <w:t xml:space="preserve">is </w:t>
      </w:r>
      <w:r w:rsidR="00DE7E61">
        <w:t>exempt from disclosure</w:t>
      </w:r>
      <w:r w:rsidR="00F25F9E">
        <w:t xml:space="preserve"> </w:t>
      </w:r>
      <w:r w:rsidR="0087255E">
        <w:t xml:space="preserve">under </w:t>
      </w:r>
      <w:r w:rsidR="00DE7E61" w:rsidRPr="00AE1B7B">
        <w:t>S43(2) (Prejudice to Commercial Interests)</w:t>
      </w:r>
      <w:r w:rsidR="0087255E">
        <w:t xml:space="preserve"> of the Freedom of Information Act</w:t>
      </w:r>
      <w:r w:rsidR="00283D40">
        <w:t xml:space="preserve"> (2000)</w:t>
      </w:r>
      <w:r w:rsidR="00030724">
        <w:t xml:space="preserve">, which concerns disclosure of </w:t>
      </w:r>
      <w:r w:rsidR="0041215D" w:rsidRPr="00AE1B7B">
        <w:t xml:space="preserve">information which would </w:t>
      </w:r>
      <w:r w:rsidR="00030724">
        <w:t xml:space="preserve">be </w:t>
      </w:r>
      <w:r w:rsidR="0041215D" w:rsidRPr="00AE1B7B">
        <w:t>likely</w:t>
      </w:r>
      <w:r w:rsidR="00030724">
        <w:t xml:space="preserve"> to adversely </w:t>
      </w:r>
      <w:r w:rsidR="0041215D" w:rsidRPr="00AE1B7B">
        <w:t>affect the competitive advantage</w:t>
      </w:r>
      <w:r w:rsidR="00030724">
        <w:t xml:space="preserve"> of a supplier</w:t>
      </w:r>
      <w:r w:rsidR="0041215D" w:rsidRPr="00AE1B7B">
        <w:t>.</w:t>
      </w:r>
      <w:r w:rsidR="008F3E4A">
        <w:t xml:space="preserve"> </w:t>
      </w:r>
    </w:p>
    <w:p w14:paraId="54119AE9" w14:textId="77777777" w:rsidR="00B67685" w:rsidRDefault="00B67685" w:rsidP="002079AD">
      <w:pPr>
        <w:spacing w:after="0"/>
        <w:jc w:val="both"/>
      </w:pPr>
    </w:p>
    <w:p w14:paraId="4B54F073" w14:textId="696F8344" w:rsidR="00E74259" w:rsidRDefault="00660FEA" w:rsidP="002079AD">
      <w:pPr>
        <w:spacing w:after="0"/>
        <w:jc w:val="both"/>
      </w:pPr>
      <w:r w:rsidRPr="00AE1B7B">
        <w:lastRenderedPageBreak/>
        <w:t>The use of this exemption is subject to an assessment of the public interest. In this instance, factors in favour of disclosure, such as the general public interest in transparency</w:t>
      </w:r>
      <w:r w:rsidR="00112D6D">
        <w:t xml:space="preserve"> and</w:t>
      </w:r>
      <w:r w:rsidRPr="00AE1B7B">
        <w:t xml:space="preserve"> openness are outweighed by the potential damage to the effective </w:t>
      </w:r>
      <w:r>
        <w:t xml:space="preserve">and fair </w:t>
      </w:r>
      <w:r w:rsidRPr="00AE1B7B">
        <w:t xml:space="preserve">operation of </w:t>
      </w:r>
      <w:r w:rsidR="007E5FFB">
        <w:t>our</w:t>
      </w:r>
      <w:r w:rsidRPr="00AE1B7B">
        <w:t xml:space="preserve"> bidding process</w:t>
      </w:r>
      <w:r w:rsidR="00BE7FB1">
        <w:t>;</w:t>
      </w:r>
      <w:r w:rsidR="00D95398">
        <w:t xml:space="preserve"> as disclos</w:t>
      </w:r>
      <w:r w:rsidR="0006045E">
        <w:t>ure of this information could give an unfair advantage to</w:t>
      </w:r>
      <w:r w:rsidR="00BE7FB1">
        <w:t xml:space="preserve"> competitors of</w:t>
      </w:r>
      <w:r w:rsidR="0006045E">
        <w:t xml:space="preserve"> the appointed </w:t>
      </w:r>
      <w:r w:rsidR="00BE7FB1">
        <w:t>supplier</w:t>
      </w:r>
      <w:r w:rsidR="00D15A59">
        <w:t xml:space="preserve"> by </w:t>
      </w:r>
      <w:r w:rsidR="002C592F">
        <w:t xml:space="preserve">artificially manipulating the </w:t>
      </w:r>
      <w:r w:rsidR="00850DCC">
        <w:t>market</w:t>
      </w:r>
      <w:r w:rsidRPr="00AE1B7B">
        <w:t xml:space="preserve">. </w:t>
      </w:r>
      <w:r w:rsidR="004C292F">
        <w:t xml:space="preserve">It should also be noted that </w:t>
      </w:r>
      <w:r w:rsidR="00BB59DC">
        <w:t>disclosure</w:t>
      </w:r>
      <w:r w:rsidR="004C292F">
        <w:t>s</w:t>
      </w:r>
      <w:r w:rsidR="00BB59DC">
        <w:t xml:space="preserve"> made under the Freedom of Information Act must be considered as a disclosure to the public at large.</w:t>
      </w:r>
    </w:p>
    <w:p w14:paraId="56CB932C" w14:textId="77777777" w:rsidR="00E74259" w:rsidRDefault="00E74259" w:rsidP="002079AD">
      <w:pPr>
        <w:spacing w:after="0"/>
        <w:jc w:val="both"/>
      </w:pPr>
    </w:p>
    <w:p w14:paraId="572A1F12" w14:textId="6D8AA122" w:rsidR="006C0AEF" w:rsidRDefault="003C5BAB" w:rsidP="002079AD">
      <w:pPr>
        <w:spacing w:after="0"/>
        <w:jc w:val="both"/>
      </w:pPr>
      <w:r w:rsidRPr="003C5BAB">
        <w:rPr>
          <w:rFonts w:ascii="Calibri" w:hAnsi="Calibri" w:cs="Calibri"/>
          <w:color w:val="222222"/>
        </w:rPr>
        <w:t>It is essential that TfW is careful to maintain the integrity of its procurement process in order to achieve the best value for taxpayer’s money. Disclosing this information would negatively, and significantly, impact that integrity</w:t>
      </w:r>
      <w:r w:rsidR="00A01A62">
        <w:rPr>
          <w:rFonts w:ascii="Calibri" w:hAnsi="Calibri" w:cs="Calibri"/>
          <w:color w:val="222222"/>
        </w:rPr>
        <w:t xml:space="preserve"> and </w:t>
      </w:r>
      <w:r w:rsidR="00E13EA0">
        <w:rPr>
          <w:rFonts w:ascii="Calibri" w:hAnsi="Calibri" w:cs="Calibri"/>
          <w:color w:val="222222"/>
        </w:rPr>
        <w:t xml:space="preserve">would likely </w:t>
      </w:r>
      <w:r w:rsidR="001E2493">
        <w:rPr>
          <w:rFonts w:ascii="Calibri" w:hAnsi="Calibri" w:cs="Calibri"/>
          <w:color w:val="222222"/>
        </w:rPr>
        <w:t>result in</w:t>
      </w:r>
      <w:r w:rsidR="00E13EA0">
        <w:rPr>
          <w:rFonts w:ascii="Calibri" w:hAnsi="Calibri" w:cs="Calibri"/>
          <w:color w:val="222222"/>
        </w:rPr>
        <w:t xml:space="preserve"> a mistrust of our organisation and dissuade companies from </w:t>
      </w:r>
      <w:r w:rsidR="00F84D02">
        <w:rPr>
          <w:rFonts w:ascii="Calibri" w:hAnsi="Calibri" w:cs="Calibri"/>
          <w:color w:val="222222"/>
        </w:rPr>
        <w:t>engaging with our bidding process again</w:t>
      </w:r>
      <w:r w:rsidRPr="003C5BAB">
        <w:rPr>
          <w:rFonts w:ascii="Calibri" w:hAnsi="Calibri" w:cs="Calibri"/>
          <w:color w:val="222222"/>
        </w:rPr>
        <w:t>.</w:t>
      </w:r>
      <w:r w:rsidR="00E74259">
        <w:t xml:space="preserve"> </w:t>
      </w:r>
      <w:r w:rsidR="00845A8B">
        <w:t>As such, d</w:t>
      </w:r>
      <w:r w:rsidR="00660FEA" w:rsidRPr="00AE1B7B">
        <w:t xml:space="preserve">isclosure would </w:t>
      </w:r>
      <w:r w:rsidR="00E74259">
        <w:t>also</w:t>
      </w:r>
      <w:r w:rsidR="00660FEA" w:rsidRPr="00AE1B7B">
        <w:t xml:space="preserve"> be likely to </w:t>
      </w:r>
      <w:r w:rsidR="00E71401">
        <w:t>harm</w:t>
      </w:r>
      <w:r w:rsidR="00660FEA" w:rsidRPr="00AE1B7B">
        <w:t xml:space="preserve"> </w:t>
      </w:r>
      <w:r w:rsidR="00845A8B">
        <w:t>TfW’s</w:t>
      </w:r>
      <w:r w:rsidR="00E71401">
        <w:t xml:space="preserve"> commercial interests, by prejudicing our</w:t>
      </w:r>
      <w:r w:rsidR="00660FEA" w:rsidRPr="00AE1B7B">
        <w:t xml:space="preserve"> ability to obtain best value from </w:t>
      </w:r>
      <w:r w:rsidR="00E71401">
        <w:t xml:space="preserve">our </w:t>
      </w:r>
      <w:r w:rsidR="00660FEA" w:rsidRPr="00AE1B7B">
        <w:t>procurement processes</w:t>
      </w:r>
      <w:r w:rsidR="00E71401">
        <w:t>. Ultimately, this would</w:t>
      </w:r>
      <w:r w:rsidR="00660FEA" w:rsidRPr="00AE1B7B">
        <w:t xml:space="preserve"> lead to</w:t>
      </w:r>
      <w:r w:rsidR="006C0AEF">
        <w:t xml:space="preserve"> an</w:t>
      </w:r>
      <w:r w:rsidR="00660FEA" w:rsidRPr="00AE1B7B">
        <w:t xml:space="preserve"> increase</w:t>
      </w:r>
      <w:r w:rsidR="006C0AEF">
        <w:t>d</w:t>
      </w:r>
      <w:r w:rsidR="00660FEA" w:rsidRPr="00AE1B7B">
        <w:t xml:space="preserve"> cost to the public</w:t>
      </w:r>
      <w:r w:rsidR="002079AD">
        <w:t>.</w:t>
      </w:r>
      <w:r w:rsidR="006C0AEF">
        <w:t xml:space="preserve"> </w:t>
      </w:r>
    </w:p>
    <w:p w14:paraId="6B950A58" w14:textId="77777777" w:rsidR="006C0AEF" w:rsidRDefault="006C0AEF" w:rsidP="002079AD">
      <w:pPr>
        <w:spacing w:after="0"/>
        <w:jc w:val="both"/>
      </w:pPr>
    </w:p>
    <w:p w14:paraId="6D3CB10D" w14:textId="095DC40E" w:rsidR="00660FEA" w:rsidRDefault="00660FEA" w:rsidP="002079AD">
      <w:pPr>
        <w:spacing w:after="0"/>
        <w:jc w:val="both"/>
      </w:pPr>
      <w:r w:rsidRPr="00AE1B7B">
        <w:t xml:space="preserve">In this instance we consider that the public interest lies in obtaining the best value from the market, whilst respecting the implied and explicit obligations of confidentiality which are created through the </w:t>
      </w:r>
      <w:r w:rsidRPr="00984951">
        <w:t>procurement process.</w:t>
      </w:r>
      <w:r w:rsidR="00D41400" w:rsidRPr="00984951">
        <w:t xml:space="preserve"> We therefore withhold </w:t>
      </w:r>
      <w:r w:rsidR="00984951" w:rsidRPr="00984951">
        <w:t xml:space="preserve">the information contained with the winning bid which </w:t>
      </w:r>
      <w:r w:rsidR="00D41400" w:rsidRPr="00984951">
        <w:t>demonstrated </w:t>
      </w:r>
      <w:r w:rsidR="00984951" w:rsidRPr="00984951">
        <w:t xml:space="preserve">the </w:t>
      </w:r>
      <w:r w:rsidR="00EE1A1C">
        <w:t xml:space="preserve">appointed </w:t>
      </w:r>
      <w:r w:rsidR="00984951" w:rsidRPr="00984951">
        <w:t xml:space="preserve">supplier’s </w:t>
      </w:r>
      <w:r w:rsidR="00D41400" w:rsidRPr="00984951">
        <w:t xml:space="preserve"> competence</w:t>
      </w:r>
      <w:r w:rsidR="00984951" w:rsidRPr="00984951">
        <w:t>.</w:t>
      </w:r>
    </w:p>
    <w:p w14:paraId="4C6142C6" w14:textId="77777777" w:rsidR="00660FEA" w:rsidRPr="00AE1B7B" w:rsidRDefault="00660FEA" w:rsidP="002079AD">
      <w:pPr>
        <w:spacing w:after="0"/>
        <w:jc w:val="both"/>
      </w:pPr>
    </w:p>
    <w:p w14:paraId="40CA0571" w14:textId="2D9CBF54" w:rsidR="006D01F7" w:rsidRPr="006D01F7" w:rsidRDefault="006D01F7" w:rsidP="002079AD">
      <w:pPr>
        <w:spacing w:after="0"/>
        <w:jc w:val="both"/>
      </w:pPr>
      <w:r w:rsidRPr="006D01F7">
        <w:t>It is worth noting that BAFE Registration/Third Party Certification to a BAFE Scheme is currently not a legal requirement</w:t>
      </w:r>
      <w:r>
        <w:t>, and was not</w:t>
      </w:r>
      <w:r w:rsidRPr="006D01F7">
        <w:t xml:space="preserve"> a mandatory requirement of th</w:t>
      </w:r>
      <w:r>
        <w:t>is</w:t>
      </w:r>
      <w:r w:rsidRPr="006D01F7">
        <w:t xml:space="preserve"> Tender.</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984951">
      <w:headerReference w:type="default" r:id="rId14"/>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4" name="Picture 4"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38028666">
    <w:abstractNumId w:val="1"/>
  </w:num>
  <w:num w:numId="2" w16cid:durableId="936596914">
    <w:abstractNumId w:val="2"/>
  </w:num>
  <w:num w:numId="3" w16cid:durableId="702633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30724"/>
    <w:rsid w:val="00050181"/>
    <w:rsid w:val="0006045E"/>
    <w:rsid w:val="00076762"/>
    <w:rsid w:val="0008339D"/>
    <w:rsid w:val="00084AA4"/>
    <w:rsid w:val="00092BE5"/>
    <w:rsid w:val="000C435B"/>
    <w:rsid w:val="000E7802"/>
    <w:rsid w:val="000F039C"/>
    <w:rsid w:val="00106DE7"/>
    <w:rsid w:val="00112D6D"/>
    <w:rsid w:val="00121A1E"/>
    <w:rsid w:val="0013481D"/>
    <w:rsid w:val="0016361E"/>
    <w:rsid w:val="001B369B"/>
    <w:rsid w:val="001B6034"/>
    <w:rsid w:val="001B6FC8"/>
    <w:rsid w:val="001E2493"/>
    <w:rsid w:val="001F47D6"/>
    <w:rsid w:val="002079AD"/>
    <w:rsid w:val="00217E85"/>
    <w:rsid w:val="00243C1C"/>
    <w:rsid w:val="00271383"/>
    <w:rsid w:val="0027240C"/>
    <w:rsid w:val="00273FBE"/>
    <w:rsid w:val="00283D40"/>
    <w:rsid w:val="00293CEC"/>
    <w:rsid w:val="0029704C"/>
    <w:rsid w:val="002B38BF"/>
    <w:rsid w:val="002C48AD"/>
    <w:rsid w:val="002C592F"/>
    <w:rsid w:val="002E3002"/>
    <w:rsid w:val="0033704E"/>
    <w:rsid w:val="003A66BB"/>
    <w:rsid w:val="003C5BAB"/>
    <w:rsid w:val="003E56B2"/>
    <w:rsid w:val="003E5FF1"/>
    <w:rsid w:val="003F3973"/>
    <w:rsid w:val="0041139F"/>
    <w:rsid w:val="0041215D"/>
    <w:rsid w:val="0042257B"/>
    <w:rsid w:val="00460408"/>
    <w:rsid w:val="004770D2"/>
    <w:rsid w:val="0049234E"/>
    <w:rsid w:val="004B27C7"/>
    <w:rsid w:val="004C292F"/>
    <w:rsid w:val="004D2ED9"/>
    <w:rsid w:val="004E19CD"/>
    <w:rsid w:val="004F2D0C"/>
    <w:rsid w:val="00585951"/>
    <w:rsid w:val="00586E64"/>
    <w:rsid w:val="00590396"/>
    <w:rsid w:val="005B50D2"/>
    <w:rsid w:val="005D18F5"/>
    <w:rsid w:val="005D5730"/>
    <w:rsid w:val="005F512A"/>
    <w:rsid w:val="00604616"/>
    <w:rsid w:val="00617231"/>
    <w:rsid w:val="006276CE"/>
    <w:rsid w:val="00653A5C"/>
    <w:rsid w:val="00660FEA"/>
    <w:rsid w:val="006725CF"/>
    <w:rsid w:val="006C0AEF"/>
    <w:rsid w:val="006D01F7"/>
    <w:rsid w:val="006D0A87"/>
    <w:rsid w:val="006F1796"/>
    <w:rsid w:val="00700245"/>
    <w:rsid w:val="00730D02"/>
    <w:rsid w:val="007346B1"/>
    <w:rsid w:val="007509CF"/>
    <w:rsid w:val="007816E1"/>
    <w:rsid w:val="00797A24"/>
    <w:rsid w:val="007E5FFB"/>
    <w:rsid w:val="00806251"/>
    <w:rsid w:val="008142C8"/>
    <w:rsid w:val="008362B2"/>
    <w:rsid w:val="00840CBC"/>
    <w:rsid w:val="0084551D"/>
    <w:rsid w:val="00845A8B"/>
    <w:rsid w:val="00850DCC"/>
    <w:rsid w:val="0087255E"/>
    <w:rsid w:val="00875924"/>
    <w:rsid w:val="008943C9"/>
    <w:rsid w:val="008D6A14"/>
    <w:rsid w:val="008E7E4B"/>
    <w:rsid w:val="008F3E4A"/>
    <w:rsid w:val="00905666"/>
    <w:rsid w:val="00921401"/>
    <w:rsid w:val="009447C8"/>
    <w:rsid w:val="009506DD"/>
    <w:rsid w:val="00955621"/>
    <w:rsid w:val="00962DA6"/>
    <w:rsid w:val="00984951"/>
    <w:rsid w:val="00990EE7"/>
    <w:rsid w:val="00997895"/>
    <w:rsid w:val="009A1797"/>
    <w:rsid w:val="009A25CC"/>
    <w:rsid w:val="009C283F"/>
    <w:rsid w:val="009D1AAA"/>
    <w:rsid w:val="009D3775"/>
    <w:rsid w:val="009E53BE"/>
    <w:rsid w:val="009E6357"/>
    <w:rsid w:val="009F476E"/>
    <w:rsid w:val="00A0047F"/>
    <w:rsid w:val="00A01A62"/>
    <w:rsid w:val="00A20006"/>
    <w:rsid w:val="00A57132"/>
    <w:rsid w:val="00A6144F"/>
    <w:rsid w:val="00A8347B"/>
    <w:rsid w:val="00A90D11"/>
    <w:rsid w:val="00AD510D"/>
    <w:rsid w:val="00AD5B78"/>
    <w:rsid w:val="00B03466"/>
    <w:rsid w:val="00B26A0E"/>
    <w:rsid w:val="00B4563D"/>
    <w:rsid w:val="00B5151F"/>
    <w:rsid w:val="00B52770"/>
    <w:rsid w:val="00B67685"/>
    <w:rsid w:val="00BA2AE7"/>
    <w:rsid w:val="00BB59DC"/>
    <w:rsid w:val="00BC1EA7"/>
    <w:rsid w:val="00BE1084"/>
    <w:rsid w:val="00BE5B50"/>
    <w:rsid w:val="00BE7FB1"/>
    <w:rsid w:val="00BF1D5D"/>
    <w:rsid w:val="00C12136"/>
    <w:rsid w:val="00C5241C"/>
    <w:rsid w:val="00C63256"/>
    <w:rsid w:val="00C80C97"/>
    <w:rsid w:val="00C875B3"/>
    <w:rsid w:val="00C93B74"/>
    <w:rsid w:val="00C9519D"/>
    <w:rsid w:val="00CA1E98"/>
    <w:rsid w:val="00CB29C7"/>
    <w:rsid w:val="00CC13B8"/>
    <w:rsid w:val="00CC3FFD"/>
    <w:rsid w:val="00CE2068"/>
    <w:rsid w:val="00CF78BC"/>
    <w:rsid w:val="00D14B32"/>
    <w:rsid w:val="00D15A59"/>
    <w:rsid w:val="00D263B3"/>
    <w:rsid w:val="00D41400"/>
    <w:rsid w:val="00D95398"/>
    <w:rsid w:val="00DB0081"/>
    <w:rsid w:val="00DB6DB0"/>
    <w:rsid w:val="00DC38BC"/>
    <w:rsid w:val="00DC4F13"/>
    <w:rsid w:val="00DC5A1B"/>
    <w:rsid w:val="00DE3034"/>
    <w:rsid w:val="00DE7E61"/>
    <w:rsid w:val="00DF2829"/>
    <w:rsid w:val="00E13EA0"/>
    <w:rsid w:val="00E24CBC"/>
    <w:rsid w:val="00E250FE"/>
    <w:rsid w:val="00E47F42"/>
    <w:rsid w:val="00E51B12"/>
    <w:rsid w:val="00E53352"/>
    <w:rsid w:val="00E664E7"/>
    <w:rsid w:val="00E71401"/>
    <w:rsid w:val="00E74259"/>
    <w:rsid w:val="00E8344B"/>
    <w:rsid w:val="00E849A6"/>
    <w:rsid w:val="00EE1A1C"/>
    <w:rsid w:val="00EE479D"/>
    <w:rsid w:val="00F25F9E"/>
    <w:rsid w:val="00F35E54"/>
    <w:rsid w:val="00F45AEF"/>
    <w:rsid w:val="00F576F2"/>
    <w:rsid w:val="00F818ED"/>
    <w:rsid w:val="00F84D02"/>
    <w:rsid w:val="00F93D1E"/>
    <w:rsid w:val="00FA35C2"/>
    <w:rsid w:val="00FB3A1A"/>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35482832">
      <w:bodyDiv w:val="1"/>
      <w:marLeft w:val="0"/>
      <w:marRight w:val="0"/>
      <w:marTop w:val="0"/>
      <w:marBottom w:val="0"/>
      <w:divBdr>
        <w:top w:val="none" w:sz="0" w:space="0" w:color="auto"/>
        <w:left w:val="none" w:sz="0" w:space="0" w:color="auto"/>
        <w:bottom w:val="none" w:sz="0" w:space="0" w:color="auto"/>
        <w:right w:val="none" w:sz="0" w:space="0" w:color="auto"/>
      </w:divBdr>
    </w:div>
    <w:div w:id="245767116">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6278532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0527846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27786-3309-42C3-8BE1-D950AEE542C2}"/>
</file>

<file path=docProps/app.xml><?xml version="1.0" encoding="utf-8"?>
<Properties xmlns="http://schemas.openxmlformats.org/officeDocument/2006/extended-properties" xmlns:vt="http://schemas.openxmlformats.org/officeDocument/2006/docPropsVTypes">
  <Template>Normal</Template>
  <TotalTime>33</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54</cp:revision>
  <dcterms:created xsi:type="dcterms:W3CDTF">2022-04-19T14:57:00Z</dcterms:created>
  <dcterms:modified xsi:type="dcterms:W3CDTF">2022-04-19T15:36:00Z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