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4A6054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F6DB6">
        <w:rPr>
          <w:rStyle w:val="normaltextrun"/>
          <w:rFonts w:ascii="Calibri" w:hAnsi="Calibri" w:cs="Calibri"/>
          <w:sz w:val="22"/>
          <w:szCs w:val="22"/>
        </w:rPr>
        <w:t>5</w:t>
      </w:r>
      <w:r w:rsidR="009F6DB6" w:rsidRPr="009F6DB6">
        <w:rPr>
          <w:rStyle w:val="normaltextrun"/>
          <w:rFonts w:ascii="Calibri" w:hAnsi="Calibri" w:cs="Calibri"/>
          <w:sz w:val="22"/>
          <w:szCs w:val="22"/>
          <w:vertAlign w:val="superscript"/>
        </w:rPr>
        <w:t>th</w:t>
      </w:r>
      <w:r w:rsidR="009F6DB6">
        <w:rPr>
          <w:rStyle w:val="normaltextrun"/>
          <w:rFonts w:ascii="Calibri" w:hAnsi="Calibri" w:cs="Calibri"/>
          <w:sz w:val="22"/>
          <w:szCs w:val="22"/>
        </w:rPr>
        <w:t xml:space="preserve"> of January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632DEB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D29D5">
        <w:rPr>
          <w:rStyle w:val="eop"/>
          <w:rFonts w:ascii="&amp;quot" w:hAnsi="&amp;quot"/>
          <w:color w:val="FF0000"/>
          <w:sz w:val="26"/>
          <w:szCs w:val="28"/>
        </w:rPr>
        <w:t>253/23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B4EF882" w14:textId="77777777" w:rsidR="00CD29D5" w:rsidRDefault="00CD29D5"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8AAE49A" w14:textId="77777777" w:rsidR="00CD29D5" w:rsidRPr="00C1192A" w:rsidRDefault="00CD29D5" w:rsidP="00CD29D5">
      <w:pPr>
        <w:pStyle w:val="PlainText"/>
        <w:rPr>
          <w:b/>
          <w:bCs/>
        </w:rPr>
      </w:pPr>
      <w:r w:rsidRPr="00C1192A">
        <w:rPr>
          <w:b/>
          <w:bCs/>
        </w:rPr>
        <w:t>Please provide a copy of any reports related to WELTAG stage one for the Wrexham Gateway. This includes:</w:t>
      </w:r>
    </w:p>
    <w:p w14:paraId="7F10E36C" w14:textId="77777777" w:rsidR="00CD29D5" w:rsidRPr="00C1192A" w:rsidRDefault="00CD29D5" w:rsidP="00CD29D5">
      <w:pPr>
        <w:pStyle w:val="PlainText"/>
        <w:rPr>
          <w:b/>
          <w:bCs/>
        </w:rPr>
      </w:pPr>
    </w:p>
    <w:p w14:paraId="45F1B3A0" w14:textId="77777777" w:rsidR="00CD29D5" w:rsidRPr="00C1192A" w:rsidRDefault="00CD29D5" w:rsidP="00CD29D5">
      <w:pPr>
        <w:pStyle w:val="PlainText"/>
        <w:rPr>
          <w:b/>
          <w:bCs/>
        </w:rPr>
      </w:pPr>
      <w:r w:rsidRPr="00C1192A">
        <w:rPr>
          <w:b/>
          <w:bCs/>
        </w:rPr>
        <w:t>- reports related to the Stage One study</w:t>
      </w:r>
    </w:p>
    <w:p w14:paraId="6484D1AC" w14:textId="77777777" w:rsidR="00CD29D5" w:rsidRPr="00C1192A" w:rsidRDefault="00CD29D5" w:rsidP="00CD29D5">
      <w:pPr>
        <w:pStyle w:val="PlainText"/>
        <w:rPr>
          <w:b/>
          <w:bCs/>
        </w:rPr>
      </w:pPr>
      <w:r w:rsidRPr="00C1192A">
        <w:rPr>
          <w:b/>
          <w:bCs/>
        </w:rPr>
        <w:t>- any business case document including any appendicitis</w:t>
      </w:r>
    </w:p>
    <w:p w14:paraId="566C9770" w14:textId="77777777" w:rsidR="00CD29D5" w:rsidRPr="00C1192A" w:rsidRDefault="00CD29D5" w:rsidP="00CD29D5">
      <w:pPr>
        <w:pStyle w:val="PlainText"/>
        <w:rPr>
          <w:b/>
          <w:bCs/>
        </w:rPr>
      </w:pPr>
      <w:r w:rsidRPr="00C1192A">
        <w:rPr>
          <w:b/>
          <w:bCs/>
        </w:rPr>
        <w:t>- formal papers discussing the report(s)</w:t>
      </w:r>
    </w:p>
    <w:p w14:paraId="1EFA895E" w14:textId="77777777" w:rsidR="00CD29D5" w:rsidRPr="00C1192A" w:rsidRDefault="00CD29D5" w:rsidP="00CD29D5">
      <w:pPr>
        <w:pStyle w:val="PlainText"/>
        <w:rPr>
          <w:b/>
          <w:bCs/>
        </w:rPr>
      </w:pPr>
      <w:r w:rsidRPr="00C1192A">
        <w:rPr>
          <w:b/>
          <w:bCs/>
        </w:rPr>
        <w:t>- communications with other parties (including Welsh Government, Wrexham University/ Wrexham Glyndwr University, Wrexham Council) discussing any final versions of the report(s)</w:t>
      </w:r>
    </w:p>
    <w:p w14:paraId="6E64535C" w14:textId="3BF60D49" w:rsidR="00CD29D5" w:rsidRPr="00C1192A" w:rsidRDefault="00CD29D5" w:rsidP="00CD29D5">
      <w:pPr>
        <w:pStyle w:val="PlainText"/>
        <w:rPr>
          <w:b/>
          <w:bCs/>
        </w:rPr>
      </w:pPr>
      <w:r w:rsidRPr="00C1192A">
        <w:rPr>
          <w:b/>
          <w:bCs/>
        </w:rPr>
        <w:t>- minutes from meetings where any final versions of the report(s) were discussed</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0F5F205B" w14:textId="77777777" w:rsidR="00BB25E5" w:rsidRDefault="00BB25E5" w:rsidP="00962DA6">
      <w:pPr>
        <w:spacing w:after="0"/>
        <w:rPr>
          <w:rFonts w:cstheme="minorHAnsi"/>
          <w:b/>
          <w:bCs/>
        </w:rPr>
      </w:pPr>
    </w:p>
    <w:p w14:paraId="7AF40B8B" w14:textId="03BDABCB" w:rsidR="00BB25E5" w:rsidRDefault="00160CD2" w:rsidP="00BB25E5">
      <w:r>
        <w:t>Documents</w:t>
      </w:r>
      <w:r w:rsidR="00BB25E5">
        <w:t xml:space="preserve"> attached relating to WelTAG 1 Stage 1 Wrexham Gateway Access and Movement Study are as follows:  </w:t>
      </w:r>
    </w:p>
    <w:p w14:paraId="7F6BD0FF" w14:textId="77777777" w:rsidR="00BB25E5" w:rsidRDefault="00BB25E5" w:rsidP="00BB25E5">
      <w:pPr>
        <w:pStyle w:val="ListParagraph"/>
        <w:numPr>
          <w:ilvl w:val="0"/>
          <w:numId w:val="11"/>
        </w:numPr>
        <w:spacing w:after="160" w:line="252" w:lineRule="auto"/>
        <w:contextualSpacing/>
        <w:rPr>
          <w:rFonts w:eastAsia="Times New Roman"/>
        </w:rPr>
      </w:pPr>
      <w:r>
        <w:rPr>
          <w:rFonts w:eastAsia="Times New Roman"/>
        </w:rPr>
        <w:t>Wrexham Gateway Access and Movement Study WelTAG Stage 1  :  Strategic Outline Case Stage 1 – April 2022</w:t>
      </w:r>
    </w:p>
    <w:p w14:paraId="663DD06E" w14:textId="77777777" w:rsidR="00BB25E5" w:rsidRDefault="00BB25E5" w:rsidP="00BB25E5">
      <w:pPr>
        <w:pStyle w:val="ListParagraph"/>
        <w:numPr>
          <w:ilvl w:val="0"/>
          <w:numId w:val="11"/>
        </w:numPr>
        <w:spacing w:after="160" w:line="252" w:lineRule="auto"/>
        <w:contextualSpacing/>
        <w:rPr>
          <w:rFonts w:eastAsia="Times New Roman"/>
        </w:rPr>
      </w:pPr>
      <w:r>
        <w:rPr>
          <w:rFonts w:eastAsia="Times New Roman"/>
        </w:rPr>
        <w:t>Wrexham Gateway Access and Movement Study WelTAG Stage 1: Impacts Assessment Report – April 2022</w:t>
      </w:r>
    </w:p>
    <w:p w14:paraId="6C71E74C" w14:textId="77777777" w:rsidR="00BB25E5" w:rsidRDefault="00BB25E5" w:rsidP="00BB25E5">
      <w:pPr>
        <w:pStyle w:val="ListParagraph"/>
      </w:pPr>
    </w:p>
    <w:p w14:paraId="245D99CC" w14:textId="2137863A" w:rsidR="00BB25E5" w:rsidRDefault="00BB25E5" w:rsidP="00BB25E5">
      <w:r>
        <w:t xml:space="preserve">Redacted versions of these documents are attached. </w:t>
      </w:r>
    </w:p>
    <w:p w14:paraId="36040D39" w14:textId="1E7443EB" w:rsidR="00BB25E5" w:rsidRDefault="00BB25E5" w:rsidP="00BB25E5">
      <w:r>
        <w:t>Please note that WelTAG is the Welsh Government Guidance on planning and appraisal for transport.</w:t>
      </w:r>
      <w:r w:rsidR="00160CD2">
        <w:t xml:space="preserve"> </w:t>
      </w:r>
      <w:r>
        <w:t>It sets out a structured approach to planning programmes and projects that commences with exploring the case for change and moves through a series of steps in developing a programme or project, delivering it and finally reviewing it.</w:t>
      </w:r>
    </w:p>
    <w:p w14:paraId="380ABB18" w14:textId="5777EC51" w:rsidR="00BB25E5" w:rsidRDefault="00BB25E5" w:rsidP="00BB25E5">
      <w:r>
        <w:t xml:space="preserve">The objective </w:t>
      </w:r>
      <w:r w:rsidR="00160CD2">
        <w:t>of WelTAG</w:t>
      </w:r>
      <w:r>
        <w:t xml:space="preserve"> Stage 1 is to explore a long list of options or ideas that help achieve the project objectives and to narrow that down to a short list which can be further explored and developed at WelTAG Stage 2 Outline Business Case.  At WelTAG Stage options are further explored based on a consideration of strategic fit, well being, affordability, deliverability and management.</w:t>
      </w:r>
    </w:p>
    <w:p w14:paraId="5041B69D" w14:textId="36C6677D" w:rsidR="00BB25E5" w:rsidRDefault="00BB25E5" w:rsidP="00BB25E5">
      <w:r>
        <w:t>It is important to note therefore that not all options short listed in the WelTAG 1 Report attached will necessarily be taken forward for implementation.</w:t>
      </w:r>
    </w:p>
    <w:p w14:paraId="04079522" w14:textId="77777777" w:rsidR="00BB25E5" w:rsidRDefault="00BB25E5" w:rsidP="00BB25E5">
      <w:r>
        <w:t>Communications  with  stakeholders including Welsh Government, Wrexham University and Wrexham Council   relating to final  versions of the report is undertaken through a Review Group process.  The Review Group for the Wrexham Gateway Access and Movement Study was held on  22</w:t>
      </w:r>
      <w:r>
        <w:rPr>
          <w:vertAlign w:val="superscript"/>
        </w:rPr>
        <w:t>nd</w:t>
      </w:r>
      <w:r>
        <w:t xml:space="preserve"> March 2022.   This is documented in the WeLTAG Stage 1: Strategic Outline Case Report (Section 7.3 and 8.2).   </w:t>
      </w:r>
    </w:p>
    <w:p w14:paraId="31F0E2A3" w14:textId="77777777" w:rsidR="00BB25E5" w:rsidRDefault="00BB25E5" w:rsidP="00BB25E5">
      <w:r>
        <w:lastRenderedPageBreak/>
        <w:t>A redacted version of the WelTAG Review</w:t>
      </w:r>
    </w:p>
    <w:p w14:paraId="4512F304" w14:textId="77777777" w:rsidR="00C1192A" w:rsidRDefault="00C1192A" w:rsidP="00962DA6">
      <w:pPr>
        <w:spacing w:after="0"/>
        <w:rPr>
          <w:rFonts w:cstheme="minorHAnsi"/>
          <w:b/>
          <w:bCs/>
        </w:rPr>
      </w:pPr>
    </w:p>
    <w:p w14:paraId="407A5603" w14:textId="77777777" w:rsidR="00C1192A" w:rsidRDefault="00C1192A" w:rsidP="00C1192A">
      <w:pPr>
        <w:contextualSpacing/>
      </w:pPr>
      <w:r>
        <w:t>In relation to this ongoing process, your request has been considered and Transport for Wales are not obliged to supply this information for the reasons set out below.</w:t>
      </w:r>
    </w:p>
    <w:p w14:paraId="30428456" w14:textId="77777777" w:rsidR="00C1192A" w:rsidRDefault="00C1192A" w:rsidP="00C1192A">
      <w:pPr>
        <w:contextualSpacing/>
      </w:pPr>
    </w:p>
    <w:p w14:paraId="02DBA984" w14:textId="77777777" w:rsidR="00C1192A" w:rsidRDefault="00C1192A" w:rsidP="00C1192A">
      <w:pPr>
        <w:contextualSpacing/>
      </w:pPr>
      <w:r>
        <w:t xml:space="preserve">Section 17 of the Freedom of Information Act 2000 requires Transport for Wales, when refusing to provide such information (because the information is exempt) to provide you, the applicant with a notice which: </w:t>
      </w:r>
    </w:p>
    <w:p w14:paraId="4002F15D" w14:textId="77777777" w:rsidR="00C1192A" w:rsidRDefault="00C1192A" w:rsidP="00C1192A">
      <w:pPr>
        <w:contextualSpacing/>
      </w:pPr>
    </w:p>
    <w:p w14:paraId="4BF25068" w14:textId="77777777" w:rsidR="00C1192A" w:rsidRDefault="00C1192A" w:rsidP="00C1192A">
      <w:pPr>
        <w:contextualSpacing/>
      </w:pPr>
      <w:r>
        <w:t xml:space="preserve">(a) states the fact, </w:t>
      </w:r>
    </w:p>
    <w:p w14:paraId="2A038B89" w14:textId="77777777" w:rsidR="00C1192A" w:rsidRDefault="00C1192A" w:rsidP="00C1192A">
      <w:pPr>
        <w:contextualSpacing/>
      </w:pPr>
      <w:r>
        <w:t xml:space="preserve">(b) specifies the exemption in question and </w:t>
      </w:r>
    </w:p>
    <w:p w14:paraId="650CD3DE" w14:textId="77777777" w:rsidR="00C1192A" w:rsidRDefault="00C1192A" w:rsidP="00C1192A">
      <w:pPr>
        <w:contextualSpacing/>
      </w:pPr>
      <w:r>
        <w:t xml:space="preserve">(c) states (if that would not otherwise be apparent) why the exemption applies: </w:t>
      </w:r>
    </w:p>
    <w:p w14:paraId="3828E854" w14:textId="77777777" w:rsidR="00C1192A" w:rsidRDefault="00C1192A" w:rsidP="00C1192A">
      <w:pPr>
        <w:contextualSpacing/>
      </w:pPr>
    </w:p>
    <w:p w14:paraId="1465C1F3" w14:textId="371E5D05" w:rsidR="00C1192A" w:rsidRDefault="00C1192A" w:rsidP="00C1192A">
      <w:pPr>
        <w:contextualSpacing/>
      </w:pPr>
      <w:r>
        <w:t>In relation to your particular request, the following exemption</w:t>
      </w:r>
      <w:r w:rsidR="00BF4D3D">
        <w:t>s</w:t>
      </w:r>
      <w:r>
        <w:t xml:space="preserve"> appl</w:t>
      </w:r>
      <w:r w:rsidR="00BF4D3D">
        <w:t>y</w:t>
      </w:r>
      <w:r>
        <w:t xml:space="preserve">: </w:t>
      </w:r>
    </w:p>
    <w:p w14:paraId="1ECE3C2E" w14:textId="77777777" w:rsidR="00C1192A" w:rsidRDefault="00C1192A" w:rsidP="00C1192A">
      <w:pPr>
        <w:contextualSpacing/>
      </w:pPr>
    </w:p>
    <w:p w14:paraId="68E76D53" w14:textId="77777777" w:rsidR="00C1192A" w:rsidRDefault="00C1192A" w:rsidP="00C1192A">
      <w:pPr>
        <w:contextualSpacing/>
      </w:pPr>
      <w:r w:rsidRPr="003B0D74">
        <w:rPr>
          <w:b/>
          <w:bCs/>
        </w:rPr>
        <w:t>Section 36 – Prejudice to the effective conduct of public affairs</w:t>
      </w:r>
      <w:r>
        <w:t xml:space="preserve"> </w:t>
      </w:r>
    </w:p>
    <w:p w14:paraId="08103B6C" w14:textId="50C4F3CA" w:rsidR="00BF4D3D" w:rsidRPr="00BF4D3D" w:rsidRDefault="00BF4D3D" w:rsidP="00C1192A">
      <w:pPr>
        <w:contextualSpacing/>
        <w:rPr>
          <w:b/>
          <w:bCs/>
        </w:rPr>
      </w:pPr>
      <w:r w:rsidRPr="00BF4D3D">
        <w:rPr>
          <w:b/>
          <w:bCs/>
        </w:rPr>
        <w:t xml:space="preserve">Section 40(2) – </w:t>
      </w:r>
      <w:r>
        <w:rPr>
          <w:b/>
          <w:bCs/>
        </w:rPr>
        <w:t>Personal Information</w:t>
      </w:r>
    </w:p>
    <w:p w14:paraId="1F9C2EA4" w14:textId="77777777" w:rsidR="00BF4D3D" w:rsidRDefault="00BF4D3D" w:rsidP="00C1192A">
      <w:pPr>
        <w:contextualSpacing/>
      </w:pPr>
    </w:p>
    <w:p w14:paraId="115A0756" w14:textId="77777777" w:rsidR="00C1192A" w:rsidRDefault="00C1192A" w:rsidP="00C1192A">
      <w:pPr>
        <w:contextualSpacing/>
      </w:pPr>
      <w:r w:rsidRPr="00BF4D3D">
        <w:rPr>
          <w:b/>
          <w:bCs/>
        </w:rPr>
        <w:t>Section 36</w:t>
      </w:r>
      <w:r>
        <w:t xml:space="preserve"> of the Freedom of Information Act 2000 allows a public authority to refuse a request if disclosure would or would be likely to: </w:t>
      </w:r>
    </w:p>
    <w:p w14:paraId="45D81D39" w14:textId="77777777" w:rsidR="00C1192A" w:rsidRDefault="00C1192A" w:rsidP="00C1192A">
      <w:pPr>
        <w:contextualSpacing/>
      </w:pPr>
    </w:p>
    <w:p w14:paraId="0EE5E947" w14:textId="77777777" w:rsidR="00C1192A" w:rsidRDefault="00C1192A" w:rsidP="00C1192A">
      <w:pPr>
        <w:contextualSpacing/>
      </w:pPr>
      <w:r>
        <w:t xml:space="preserve">(a) inhibit the free and frank provision of advice or exchange or views: or </w:t>
      </w:r>
    </w:p>
    <w:p w14:paraId="25330CE8" w14:textId="77777777" w:rsidR="00C1192A" w:rsidRDefault="00C1192A" w:rsidP="00C1192A">
      <w:pPr>
        <w:contextualSpacing/>
      </w:pPr>
      <w:r>
        <w:t>(b) otherwise prejudice the effective conduct of public affairs.</w:t>
      </w:r>
    </w:p>
    <w:p w14:paraId="3282D807" w14:textId="77777777" w:rsidR="00C1192A" w:rsidRDefault="00C1192A" w:rsidP="00C1192A">
      <w:pPr>
        <w:contextualSpacing/>
      </w:pPr>
    </w:p>
    <w:p w14:paraId="60A663C6" w14:textId="77777777" w:rsidR="00C1192A" w:rsidRDefault="00C1192A" w:rsidP="00C1192A">
      <w:pPr>
        <w:contextualSpacing/>
      </w:pPr>
      <w:r>
        <w:t>In order to apply this exemption, a qualified person has given their opinion in the first instance that Section 36 is engaged. This includes the circumstances of this particular case taking into account any relevant factors in order to reach their opinion.</w:t>
      </w:r>
    </w:p>
    <w:p w14:paraId="6A4E9DF6" w14:textId="77777777" w:rsidR="00C1192A" w:rsidRDefault="00C1192A" w:rsidP="00C1192A">
      <w:pPr>
        <w:contextualSpacing/>
      </w:pPr>
    </w:p>
    <w:p w14:paraId="650EC9F2" w14:textId="77777777" w:rsidR="00C1192A" w:rsidRPr="00435F27" w:rsidRDefault="00C1192A" w:rsidP="00C1192A">
      <w:pPr>
        <w:contextualSpacing/>
        <w:rPr>
          <w:b/>
          <w:bCs/>
        </w:rPr>
      </w:pPr>
      <w:r w:rsidRPr="00435F27">
        <w:rPr>
          <w:b/>
          <w:bCs/>
        </w:rPr>
        <w:t>Factors favouring Disclosure</w:t>
      </w:r>
    </w:p>
    <w:p w14:paraId="0366321E" w14:textId="77777777" w:rsidR="00C1192A" w:rsidRDefault="00C1192A" w:rsidP="00C1192A">
      <w:pPr>
        <w:contextualSpacing/>
      </w:pPr>
    </w:p>
    <w:p w14:paraId="029D5D47" w14:textId="77777777" w:rsidR="00C1192A" w:rsidRDefault="00C1192A" w:rsidP="00C1192A">
      <w:pPr>
        <w:contextualSpacing/>
      </w:pPr>
      <w:r>
        <w:t xml:space="preserve">When considering the application of this exemption Transport for Wales considered the public interest in disclosure demonstrating openness and transparency of process and furthering the understanding of its business to the wider world. </w:t>
      </w:r>
    </w:p>
    <w:p w14:paraId="6A101EFE" w14:textId="77777777" w:rsidR="00C1192A" w:rsidRDefault="00C1192A" w:rsidP="00C1192A">
      <w:pPr>
        <w:contextualSpacing/>
      </w:pPr>
    </w:p>
    <w:p w14:paraId="0781EAF1" w14:textId="77777777" w:rsidR="00C1192A" w:rsidRDefault="00C1192A" w:rsidP="00C1192A">
      <w:pPr>
        <w:contextualSpacing/>
      </w:pPr>
      <w:r>
        <w:t xml:space="preserve">Transport for Wales is committed to recognising there is a strong public interest to demonstrate openness, transparency, and accountability with regards to the Freedom of Information legislation particularly in relation to an individual’s right to know. </w:t>
      </w:r>
    </w:p>
    <w:p w14:paraId="1E1EE2EA" w14:textId="77777777" w:rsidR="00C1192A" w:rsidRPr="002A2D93" w:rsidRDefault="00C1192A" w:rsidP="00C1192A">
      <w:pPr>
        <w:contextualSpacing/>
        <w:rPr>
          <w:b/>
          <w:bCs/>
        </w:rPr>
      </w:pPr>
    </w:p>
    <w:p w14:paraId="21F3E9CD" w14:textId="77777777" w:rsidR="00C1192A" w:rsidRDefault="00C1192A" w:rsidP="00C1192A">
      <w:pPr>
        <w:contextualSpacing/>
      </w:pPr>
      <w:r w:rsidRPr="002A2D93">
        <w:rPr>
          <w:b/>
          <w:bCs/>
        </w:rPr>
        <w:t>Factors favouring Non-Disclosure</w:t>
      </w:r>
      <w:r>
        <w:t xml:space="preserve"> </w:t>
      </w:r>
    </w:p>
    <w:p w14:paraId="255D1931" w14:textId="77777777" w:rsidR="00C1192A" w:rsidRDefault="00C1192A" w:rsidP="00C1192A">
      <w:pPr>
        <w:contextualSpacing/>
      </w:pPr>
    </w:p>
    <w:p w14:paraId="7F9C3DB8" w14:textId="77777777" w:rsidR="00C1192A" w:rsidRDefault="00C1192A" w:rsidP="00C1192A">
      <w:pPr>
        <w:contextualSpacing/>
      </w:pPr>
      <w:r>
        <w:t>Transport for Wales do not consider that it is in the public interest to release details of ongoing plans into the public domain. Therefore, Transport for Wales considers that the following provisions apply:</w:t>
      </w:r>
    </w:p>
    <w:p w14:paraId="27F8C2A4" w14:textId="77777777" w:rsidR="00C1192A" w:rsidRDefault="00C1192A" w:rsidP="00C1192A">
      <w:pPr>
        <w:contextualSpacing/>
      </w:pPr>
    </w:p>
    <w:p w14:paraId="0D4FDEBB" w14:textId="77777777" w:rsidR="00C1192A" w:rsidRDefault="00C1192A" w:rsidP="00C1192A">
      <w:pPr>
        <w:contextualSpacing/>
      </w:pPr>
      <w:r w:rsidRPr="00893738">
        <w:rPr>
          <w:b/>
          <w:bCs/>
        </w:rPr>
        <w:t>Section 36(2)(c)</w:t>
      </w:r>
      <w:r>
        <w:t xml:space="preserve"> “would otherwise prejudice, or would be likely otherwise to prejudice, the effective conduct of public affairs.” </w:t>
      </w:r>
    </w:p>
    <w:p w14:paraId="4C20548B" w14:textId="77777777" w:rsidR="00C1192A" w:rsidRDefault="00C1192A" w:rsidP="00C1192A">
      <w:pPr>
        <w:contextualSpacing/>
      </w:pPr>
    </w:p>
    <w:p w14:paraId="4825012B" w14:textId="6CD94592" w:rsidR="00C1192A" w:rsidRDefault="00C1192A" w:rsidP="00C1192A">
      <w:pPr>
        <w:spacing w:after="0"/>
      </w:pPr>
      <w:r>
        <w:lastRenderedPageBreak/>
        <w:t>The information redacted relates to a study carried out on behalf of the Welsh Government and is weighing up options and considerations for potential future works which may o</w:t>
      </w:r>
      <w:r w:rsidR="006D0B4A">
        <w:t>r</w:t>
      </w:r>
      <w:r>
        <w:t xml:space="preserve"> may not come to fruition. Releasing some of this information into the public domain at this stage could seriously hinder </w:t>
      </w:r>
      <w:r w:rsidR="00BF4D3D">
        <w:t>the effective conduct of both Transport for Wales and the Welsh Government.</w:t>
      </w:r>
    </w:p>
    <w:p w14:paraId="4528F08F" w14:textId="77777777" w:rsidR="00BF4D3D" w:rsidRDefault="00BF4D3D" w:rsidP="00C1192A">
      <w:pPr>
        <w:spacing w:after="0"/>
      </w:pPr>
    </w:p>
    <w:p w14:paraId="4EAAB340" w14:textId="77777777" w:rsidR="00C1192A" w:rsidRDefault="00C1192A" w:rsidP="00C1192A">
      <w:pPr>
        <w:spacing w:after="0"/>
      </w:pPr>
      <w:r>
        <w:t>On balance, in this case, Transport for Wales feel that the argument for non-disclosure is stronger that the factors favouring disclosure.</w:t>
      </w:r>
    </w:p>
    <w:p w14:paraId="000D19C1" w14:textId="77777777" w:rsidR="00BF4D3D" w:rsidRDefault="00BF4D3D" w:rsidP="00C1192A">
      <w:pPr>
        <w:spacing w:after="0"/>
      </w:pPr>
    </w:p>
    <w:p w14:paraId="121790E9" w14:textId="5B12D421" w:rsidR="00BF4D3D" w:rsidRDefault="00BF4D3D" w:rsidP="00BF4D3D">
      <w:pPr>
        <w:spacing w:after="0"/>
        <w:rPr>
          <w:rFonts w:cstheme="minorHAnsi"/>
        </w:rPr>
      </w:pPr>
      <w:r w:rsidRPr="00BF4D3D">
        <w:rPr>
          <w:rFonts w:cstheme="minorHAnsi"/>
          <w:b/>
          <w:bCs/>
        </w:rPr>
        <w:t>Section 40(2)</w:t>
      </w:r>
      <w:r>
        <w:rPr>
          <w:rFonts w:cstheme="minorHAnsi"/>
        </w:rPr>
        <w:t xml:space="preserve"> - Under this exemption, personal data should not be disclosed if this would contravene the data protection principles.</w:t>
      </w:r>
    </w:p>
    <w:p w14:paraId="2D1F05F8" w14:textId="77777777" w:rsidR="00BF4D3D" w:rsidRDefault="00BF4D3D" w:rsidP="00BF4D3D">
      <w:pPr>
        <w:spacing w:after="0"/>
        <w:rPr>
          <w:rFonts w:cstheme="minorHAnsi"/>
        </w:rPr>
      </w:pPr>
    </w:p>
    <w:p w14:paraId="1A34BBC7" w14:textId="77777777" w:rsidR="00BF4D3D" w:rsidRDefault="00BF4D3D" w:rsidP="00BF4D3D">
      <w:pPr>
        <w:spacing w:after="0"/>
        <w:rPr>
          <w:rFonts w:cstheme="minorHAnsi"/>
        </w:rPr>
      </w:pPr>
      <w:r>
        <w:rPr>
          <w:rFonts w:cstheme="minorHAnsi"/>
        </w:rPr>
        <w:t xml:space="preserve">Personal data is defined by the General Data Protection Regulations (GDPR) as follows - </w:t>
      </w:r>
    </w:p>
    <w:p w14:paraId="741489E5" w14:textId="77777777" w:rsidR="00BF4D3D" w:rsidRDefault="00BF4D3D" w:rsidP="00BF4D3D">
      <w:pPr>
        <w:spacing w:after="0"/>
        <w:rPr>
          <w:rFonts w:cstheme="minorHAnsi"/>
        </w:rPr>
      </w:pPr>
    </w:p>
    <w:p w14:paraId="52FB16C4" w14:textId="77777777" w:rsidR="00BF4D3D" w:rsidRDefault="00BF4D3D" w:rsidP="00BF4D3D">
      <w:pPr>
        <w:spacing w:after="0"/>
        <w:rPr>
          <w:rFonts w:cstheme="minorHAnsi"/>
          <w:b/>
          <w:bCs/>
          <w:color w:val="000000"/>
          <w:shd w:val="clear" w:color="auto" w:fill="F7F3F0"/>
        </w:rPr>
      </w:pPr>
      <w:r>
        <w:rPr>
          <w:rFonts w:cstheme="minorHAnsi"/>
          <w:b/>
          <w:bCs/>
        </w:rPr>
        <w:t xml:space="preserve"> </w:t>
      </w:r>
      <w:r>
        <w:rPr>
          <w:rFonts w:cstheme="minorHAnsi"/>
          <w:b/>
          <w:bCs/>
          <w:color w:val="000000"/>
          <w:highlight w:val="lightGray"/>
          <w:shd w:val="clear" w:color="auto" w:fill="F7F3F0"/>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5A551B8" w14:textId="77777777" w:rsidR="00BF4D3D" w:rsidRDefault="00BF4D3D" w:rsidP="00BF4D3D">
      <w:pPr>
        <w:pStyle w:val="NormalWeb"/>
        <w:shd w:val="clear" w:color="auto" w:fill="FFFFFF"/>
        <w:spacing w:before="0" w:beforeAutospacing="0" w:after="0" w:afterAutospacing="0"/>
        <w:rPr>
          <w:rStyle w:val="Strong"/>
          <w:rFonts w:ascii="Arial" w:hAnsi="Arial" w:cs="Arial"/>
          <w:color w:val="111111"/>
          <w:sz w:val="21"/>
          <w:szCs w:val="21"/>
        </w:rPr>
      </w:pPr>
    </w:p>
    <w:p w14:paraId="323CC4A1" w14:textId="77777777" w:rsidR="00BF4D3D" w:rsidRDefault="00BF4D3D" w:rsidP="00BF4D3D">
      <w:pPr>
        <w:pStyle w:val="NormalWeb"/>
        <w:shd w:val="clear" w:color="auto" w:fill="FFFFFF"/>
        <w:spacing w:before="0" w:beforeAutospacing="0" w:after="0" w:afterAutospacing="0"/>
        <w:rPr>
          <w:rStyle w:val="Strong"/>
          <w:rFonts w:ascii="Arial" w:hAnsi="Arial" w:cs="Arial"/>
          <w:b w:val="0"/>
          <w:bCs w:val="0"/>
          <w:color w:val="111111"/>
          <w:sz w:val="21"/>
          <w:szCs w:val="21"/>
        </w:rPr>
      </w:pPr>
      <w:r>
        <w:rPr>
          <w:rStyle w:val="Strong"/>
          <w:rFonts w:ascii="Arial" w:hAnsi="Arial" w:cs="Arial"/>
          <w:color w:val="111111"/>
          <w:sz w:val="21"/>
          <w:szCs w:val="21"/>
        </w:rPr>
        <w:t>ICO guidance states the following –</w:t>
      </w:r>
    </w:p>
    <w:p w14:paraId="60502496" w14:textId="77777777" w:rsidR="00BF4D3D" w:rsidRDefault="00BF4D3D" w:rsidP="00BF4D3D">
      <w:pPr>
        <w:pStyle w:val="NormalWeb"/>
        <w:shd w:val="clear" w:color="auto" w:fill="FFFFFF"/>
        <w:spacing w:before="0" w:beforeAutospacing="0" w:after="0" w:afterAutospacing="0"/>
        <w:rPr>
          <w:rStyle w:val="Strong"/>
          <w:b w:val="0"/>
          <w:bCs w:val="0"/>
          <w:color w:val="111111"/>
        </w:rPr>
      </w:pPr>
    </w:p>
    <w:p w14:paraId="7D986EFF" w14:textId="77777777" w:rsidR="00BF4D3D" w:rsidRDefault="00BF4D3D" w:rsidP="00BF4D3D">
      <w:pPr>
        <w:pStyle w:val="NormalWeb"/>
        <w:shd w:val="clear" w:color="auto" w:fill="FFFFFF"/>
        <w:spacing w:before="0" w:beforeAutospacing="0" w:after="0" w:afterAutospacing="0"/>
        <w:rPr>
          <w:b/>
          <w:bCs/>
          <w:highlight w:val="lightGray"/>
        </w:rPr>
      </w:pPr>
      <w:r>
        <w:rPr>
          <w:b/>
          <w:bCs/>
          <w:highlight w:val="lightGray"/>
        </w:rPr>
        <w:t>When a public authority receives a request for information that constitutes personal data about its employees, it must decide whether disclosure would breach Principle 1 of the Data Protection Act (the DPA), ie whether it would be fair and lawful to disclose the information. Whether the disclosure is fair will depend on a number of factors including:</w:t>
      </w:r>
    </w:p>
    <w:p w14:paraId="5BE72B0A" w14:textId="77777777" w:rsidR="00BF4D3D" w:rsidRDefault="00BF4D3D" w:rsidP="00BF4D3D">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whether it is sensitive personal data;</w:t>
      </w:r>
    </w:p>
    <w:p w14:paraId="4E6B08F5" w14:textId="77777777" w:rsidR="00BF4D3D" w:rsidRDefault="00BF4D3D" w:rsidP="00BF4D3D">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the consequences of disclosure;</w:t>
      </w:r>
    </w:p>
    <w:p w14:paraId="7B436F2D" w14:textId="77777777" w:rsidR="00BF4D3D" w:rsidRDefault="00BF4D3D" w:rsidP="00BF4D3D">
      <w:pPr>
        <w:pStyle w:val="NormalWeb"/>
        <w:shd w:val="clear" w:color="auto" w:fill="FFFFFF"/>
        <w:spacing w:before="0" w:beforeAutospacing="0" w:after="0" w:afterAutospacing="0"/>
        <w:rPr>
          <w:b/>
          <w:bCs/>
          <w:highlight w:val="lightGray"/>
        </w:rPr>
      </w:pPr>
      <w:r>
        <w:rPr>
          <w:b/>
          <w:bCs/>
          <w:highlight w:val="lightGray"/>
        </w:rPr>
        <w:t xml:space="preserve"> </w:t>
      </w:r>
      <w:r>
        <w:rPr>
          <w:b/>
          <w:bCs/>
          <w:highlight w:val="lightGray"/>
        </w:rPr>
        <w:sym w:font="Symbol" w:char="F0B7"/>
      </w:r>
      <w:r>
        <w:rPr>
          <w:b/>
          <w:bCs/>
          <w:highlight w:val="lightGray"/>
        </w:rPr>
        <w:t xml:space="preserve"> the reasonable expectations of the employees; and </w:t>
      </w:r>
    </w:p>
    <w:p w14:paraId="650CF8D2" w14:textId="77777777" w:rsidR="00BF4D3D" w:rsidRDefault="00BF4D3D" w:rsidP="00BF4D3D">
      <w:pPr>
        <w:pStyle w:val="NormalWeb"/>
        <w:shd w:val="clear" w:color="auto" w:fill="FFFFFF"/>
        <w:spacing w:before="0" w:beforeAutospacing="0" w:after="0" w:afterAutospacing="0"/>
        <w:rPr>
          <w:b/>
          <w:bCs/>
        </w:rPr>
      </w:pPr>
      <w:r>
        <w:rPr>
          <w:b/>
          <w:bCs/>
          <w:highlight w:val="lightGray"/>
        </w:rPr>
        <w:sym w:font="Symbol" w:char="F0B7"/>
      </w:r>
      <w:r>
        <w:rPr>
          <w:b/>
          <w:bCs/>
          <w:highlight w:val="lightGray"/>
        </w:rPr>
        <w:t xml:space="preserve"> whether there is a legitimate interest in the public or requester having access to the information and the balance between this and the rights and freedoms of the data subjects.</w:t>
      </w:r>
    </w:p>
    <w:p w14:paraId="3DB28AA6" w14:textId="77777777" w:rsidR="00BF4D3D" w:rsidRDefault="00BF4D3D" w:rsidP="00BF4D3D">
      <w:pPr>
        <w:pStyle w:val="NormalWeb"/>
        <w:shd w:val="clear" w:color="auto" w:fill="FFFFFF"/>
        <w:spacing w:before="0" w:beforeAutospacing="0" w:after="0" w:afterAutospacing="0"/>
        <w:rPr>
          <w:rFonts w:asciiTheme="minorHAnsi" w:hAnsiTheme="minorHAnsi" w:cstheme="minorHAnsi"/>
          <w:i/>
          <w:iCs/>
        </w:rPr>
      </w:pPr>
    </w:p>
    <w:p w14:paraId="057DCD89" w14:textId="77777777" w:rsidR="00BF4D3D" w:rsidRPr="00922818" w:rsidRDefault="00BF4D3D" w:rsidP="00BF4D3D">
      <w:pPr>
        <w:pStyle w:val="NormalWeb"/>
        <w:shd w:val="clear" w:color="auto" w:fill="FFFFFF"/>
        <w:spacing w:before="0" w:beforeAutospacing="0" w:after="0" w:afterAutospacing="0"/>
        <w:rPr>
          <w:rStyle w:val="Strong"/>
          <w:b w:val="0"/>
          <w:bCs w:val="0"/>
          <w:color w:val="111111"/>
        </w:rPr>
      </w:pPr>
      <w:r w:rsidRPr="00922818">
        <w:rPr>
          <w:rStyle w:val="Strong"/>
          <w:b w:val="0"/>
          <w:bCs w:val="0"/>
          <w:color w:val="111111"/>
        </w:rPr>
        <w:t>In this case, we have identified that the name of this individual is personal data AND the release of this individuals name WOULD contravene the first principle of the DPA.</w:t>
      </w:r>
    </w:p>
    <w:p w14:paraId="4642C255" w14:textId="77777777" w:rsidR="00BF4D3D" w:rsidRDefault="00BF4D3D" w:rsidP="00BF4D3D">
      <w:pPr>
        <w:pStyle w:val="NormalWeb"/>
        <w:shd w:val="clear" w:color="auto" w:fill="FFFFFF"/>
        <w:spacing w:before="0" w:beforeAutospacing="0" w:after="0" w:afterAutospacing="0"/>
        <w:rPr>
          <w:rStyle w:val="Strong"/>
          <w:b w:val="0"/>
          <w:bCs w:val="0"/>
          <w:color w:val="111111"/>
        </w:rPr>
      </w:pPr>
    </w:p>
    <w:p w14:paraId="0A260E40" w14:textId="77777777" w:rsidR="00BF4D3D" w:rsidRDefault="00BF4D3D" w:rsidP="00BF4D3D">
      <w:pPr>
        <w:pStyle w:val="NormalWeb"/>
        <w:shd w:val="clear" w:color="auto" w:fill="FFFFFF"/>
        <w:spacing w:before="0" w:beforeAutospacing="0" w:after="0" w:afterAutospacing="0"/>
      </w:pPr>
      <w:r>
        <w:t xml:space="preserve">TfW need to consider the likely impacts or consequences that disclosure personal information will have on the staff themselves. Data should not be disclosed if disclosure will cause unjustified adverse effects on the staff concerned. </w:t>
      </w:r>
    </w:p>
    <w:p w14:paraId="70FD58C8" w14:textId="77777777" w:rsidR="00BF4D3D" w:rsidRDefault="00BF4D3D" w:rsidP="00BF4D3D">
      <w:pPr>
        <w:pStyle w:val="NormalWeb"/>
        <w:shd w:val="clear" w:color="auto" w:fill="FFFFFF"/>
        <w:spacing w:before="0" w:beforeAutospacing="0" w:after="0" w:afterAutospacing="0"/>
      </w:pPr>
    </w:p>
    <w:p w14:paraId="4243DEF3" w14:textId="77777777" w:rsidR="00BF4D3D" w:rsidRDefault="00BF4D3D" w:rsidP="00BF4D3D">
      <w:pPr>
        <w:pStyle w:val="NormalWeb"/>
        <w:shd w:val="clear" w:color="auto" w:fill="FFFFFF"/>
        <w:spacing w:before="0" w:beforeAutospacing="0" w:after="0" w:afterAutospacing="0"/>
      </w:pPr>
      <w:r>
        <w:t xml:space="preserve">It is important to remember that disclosure of personal information under the FOI is to “the world at large”. </w:t>
      </w:r>
    </w:p>
    <w:p w14:paraId="40CCF881" w14:textId="77777777" w:rsidR="00BF4D3D" w:rsidRDefault="00BF4D3D" w:rsidP="00BF4D3D">
      <w:pPr>
        <w:pStyle w:val="NormalWeb"/>
        <w:shd w:val="clear" w:color="auto" w:fill="FFFFFF"/>
        <w:spacing w:before="0" w:beforeAutospacing="0" w:after="0" w:afterAutospacing="0"/>
      </w:pPr>
      <w:r>
        <w:t>The key question when it comes to disclosing personal information, is what is the harm that will arise from disclosure.</w:t>
      </w:r>
    </w:p>
    <w:p w14:paraId="126639BE" w14:textId="77777777" w:rsidR="00BF4D3D" w:rsidRDefault="00BF4D3D" w:rsidP="00BF4D3D">
      <w:pPr>
        <w:pStyle w:val="NormalWeb"/>
        <w:shd w:val="clear" w:color="auto" w:fill="FFFFFF"/>
        <w:spacing w:before="0" w:beforeAutospacing="0" w:after="0" w:afterAutospacing="0"/>
        <w:rPr>
          <w:rFonts w:ascii="Arial" w:hAnsi="Arial" w:cs="Arial"/>
          <w:color w:val="555555"/>
          <w:sz w:val="21"/>
          <w:szCs w:val="21"/>
        </w:rPr>
      </w:pPr>
    </w:p>
    <w:p w14:paraId="76C1EF6F" w14:textId="3C791A05" w:rsidR="00BF4D3D" w:rsidRDefault="00BF4D3D" w:rsidP="00BF4D3D">
      <w:pPr>
        <w:spacing w:after="0"/>
        <w:rPr>
          <w:rFonts w:cstheme="minorHAnsi"/>
        </w:rPr>
      </w:pPr>
      <w:r>
        <w:rPr>
          <w:rFonts w:cstheme="minorHAnsi"/>
        </w:rPr>
        <w:t>The individual</w:t>
      </w:r>
      <w:r w:rsidR="00BB25E5">
        <w:rPr>
          <w:rFonts w:cstheme="minorHAnsi"/>
        </w:rPr>
        <w:t>s</w:t>
      </w:r>
      <w:r>
        <w:rPr>
          <w:rFonts w:cstheme="minorHAnsi"/>
        </w:rPr>
        <w:t xml:space="preserve"> in question would not have any expectation that their name would be released into the public domain.</w:t>
      </w:r>
    </w:p>
    <w:p w14:paraId="090B651F" w14:textId="77777777" w:rsidR="00BF4D3D" w:rsidRDefault="00BF4D3D" w:rsidP="00BF4D3D">
      <w:pPr>
        <w:spacing w:after="0"/>
        <w:rPr>
          <w:rFonts w:cstheme="minorHAnsi"/>
        </w:rPr>
      </w:pPr>
    </w:p>
    <w:p w14:paraId="15330A0A" w14:textId="00EBB1C8" w:rsidR="00BF4D3D" w:rsidRDefault="00BF4D3D" w:rsidP="00BF4D3D">
      <w:pPr>
        <w:spacing w:after="0"/>
        <w:rPr>
          <w:rFonts w:cstheme="minorHAnsi"/>
        </w:rPr>
      </w:pPr>
      <w:r>
        <w:rPr>
          <w:rFonts w:cstheme="minorHAnsi"/>
        </w:rPr>
        <w:t xml:space="preserve">The potential negative impact which could arise from disclosure far outweighs any public interest. Release of the individuals name could lead to frequent </w:t>
      </w:r>
      <w:r w:rsidR="00BB25E5">
        <w:rPr>
          <w:rFonts w:cstheme="minorHAnsi"/>
        </w:rPr>
        <w:t>communications amounting to harassment</w:t>
      </w:r>
      <w:r>
        <w:rPr>
          <w:rFonts w:cstheme="minorHAnsi"/>
        </w:rPr>
        <w:t>.</w:t>
      </w:r>
    </w:p>
    <w:p w14:paraId="6214E8D0" w14:textId="77777777" w:rsidR="00BF4D3D" w:rsidRDefault="00BF4D3D" w:rsidP="00BF4D3D">
      <w:pPr>
        <w:spacing w:after="0"/>
        <w:rPr>
          <w:rFonts w:cstheme="minorHAnsi"/>
        </w:rPr>
      </w:pPr>
      <w:r>
        <w:rPr>
          <w:rFonts w:cstheme="minorHAnsi"/>
        </w:rPr>
        <w:t>The negative impact on the individual and on TfW cannot be ignored.</w:t>
      </w:r>
    </w:p>
    <w:p w14:paraId="05FB3B1E" w14:textId="77777777" w:rsidR="00BF4D3D" w:rsidRDefault="00BF4D3D" w:rsidP="00C1192A">
      <w:pPr>
        <w:spacing w:after="0"/>
      </w:pPr>
    </w:p>
    <w:p w14:paraId="73CAA71F" w14:textId="77777777" w:rsidR="00C1192A" w:rsidRDefault="00C1192A" w:rsidP="00962DA6">
      <w:pPr>
        <w:spacing w:after="0"/>
        <w:rPr>
          <w:rFonts w:cstheme="minorHAnsi"/>
          <w:b/>
          <w:bCs/>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587A" w14:textId="77777777" w:rsidR="00662699" w:rsidRDefault="00662699" w:rsidP="0029704C">
      <w:pPr>
        <w:spacing w:after="0" w:line="240" w:lineRule="auto"/>
      </w:pPr>
      <w:r>
        <w:separator/>
      </w:r>
    </w:p>
  </w:endnote>
  <w:endnote w:type="continuationSeparator" w:id="0">
    <w:p w14:paraId="6CF0052F" w14:textId="77777777" w:rsidR="00662699" w:rsidRDefault="00662699" w:rsidP="0029704C">
      <w:pPr>
        <w:spacing w:after="0" w:line="240" w:lineRule="auto"/>
      </w:pPr>
      <w:r>
        <w:continuationSeparator/>
      </w:r>
    </w:p>
  </w:endnote>
  <w:endnote w:type="continuationNotice" w:id="1">
    <w:p w14:paraId="62460031" w14:textId="77777777" w:rsidR="00662699" w:rsidRDefault="00662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1DBE" w14:textId="77777777" w:rsidR="00662699" w:rsidRDefault="00662699" w:rsidP="0029704C">
      <w:pPr>
        <w:spacing w:after="0" w:line="240" w:lineRule="auto"/>
      </w:pPr>
      <w:r>
        <w:separator/>
      </w:r>
    </w:p>
  </w:footnote>
  <w:footnote w:type="continuationSeparator" w:id="0">
    <w:p w14:paraId="7D8F872D" w14:textId="77777777" w:rsidR="00662699" w:rsidRDefault="00662699" w:rsidP="0029704C">
      <w:pPr>
        <w:spacing w:after="0" w:line="240" w:lineRule="auto"/>
      </w:pPr>
      <w:r>
        <w:continuationSeparator/>
      </w:r>
    </w:p>
  </w:footnote>
  <w:footnote w:type="continuationNotice" w:id="1">
    <w:p w14:paraId="2165C002" w14:textId="77777777" w:rsidR="00662699" w:rsidRDefault="00662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515447A"/>
    <w:multiLevelType w:val="hybridMultilevel"/>
    <w:tmpl w:val="F2CE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0"/>
  </w:num>
  <w:num w:numId="5" w16cid:durableId="447050164">
    <w:abstractNumId w:val="5"/>
  </w:num>
  <w:num w:numId="6" w16cid:durableId="1085153704">
    <w:abstractNumId w:val="7"/>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1208644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0CD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62699"/>
    <w:rsid w:val="006D0B4A"/>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66340"/>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9F6DB6"/>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B25E5"/>
    <w:rsid w:val="00BC1EA7"/>
    <w:rsid w:val="00BD0492"/>
    <w:rsid w:val="00BE1084"/>
    <w:rsid w:val="00BE5B50"/>
    <w:rsid w:val="00BF4D3D"/>
    <w:rsid w:val="00C1192A"/>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9D5"/>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F4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76008769">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56040915">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31CC9F10-51C8-4F1E-A9AE-E1B87695770D}"/>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38</TotalTime>
  <Pages>4</Pages>
  <Words>1093</Words>
  <Characters>6574</Characters>
  <Application>Microsoft Office Word</Application>
  <DocSecurity>0</DocSecurity>
  <Lines>205</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5</cp:revision>
  <dcterms:created xsi:type="dcterms:W3CDTF">2024-01-04T16:11:00Z</dcterms:created>
  <dcterms:modified xsi:type="dcterms:W3CDTF">2024-01-05T16:53:00Z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