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76B3AFDB"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3A4243">
        <w:rPr>
          <w:rStyle w:val="normaltextrun"/>
          <w:rFonts w:ascii="Calibri" w:hAnsi="Calibri" w:cs="Calibri"/>
          <w:sz w:val="22"/>
          <w:szCs w:val="22"/>
        </w:rPr>
        <w:t>7</w:t>
      </w:r>
      <w:r w:rsidR="003A4243" w:rsidRPr="003A4243">
        <w:rPr>
          <w:rStyle w:val="normaltextrun"/>
          <w:rFonts w:ascii="Calibri" w:hAnsi="Calibri" w:cs="Calibri"/>
          <w:sz w:val="22"/>
          <w:szCs w:val="22"/>
          <w:vertAlign w:val="superscript"/>
        </w:rPr>
        <w:t>th</w:t>
      </w:r>
      <w:r w:rsidR="003A4243">
        <w:rPr>
          <w:rStyle w:val="normaltextrun"/>
          <w:rFonts w:ascii="Calibri" w:hAnsi="Calibri" w:cs="Calibri"/>
          <w:sz w:val="22"/>
          <w:szCs w:val="22"/>
        </w:rPr>
        <w:t xml:space="preserve"> of November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76D67E8F"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3A4243">
        <w:rPr>
          <w:rStyle w:val="normaltextrun"/>
          <w:rFonts w:ascii="Calibri" w:hAnsi="Calibri" w:cs="Calibri"/>
          <w:b/>
          <w:bCs/>
          <w:color w:val="FF0000"/>
          <w:sz w:val="28"/>
          <w:szCs w:val="28"/>
        </w:rPr>
        <w:t>280</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57C8D6F9" w14:textId="77777777" w:rsidR="003A4243" w:rsidRPr="003A4243" w:rsidRDefault="003A4243" w:rsidP="003A4243">
      <w:pPr>
        <w:pStyle w:val="paragraph"/>
        <w:rPr>
          <w:rFonts w:ascii="Calibri" w:hAnsi="Calibri" w:cs="Calibri"/>
          <w:b/>
          <w:bCs/>
          <w:sz w:val="22"/>
          <w:szCs w:val="22"/>
        </w:rPr>
      </w:pPr>
      <w:r w:rsidRPr="003A4243">
        <w:rPr>
          <w:rFonts w:ascii="Calibri" w:hAnsi="Calibri" w:cs="Calibri"/>
          <w:b/>
          <w:bCs/>
          <w:sz w:val="22"/>
          <w:szCs w:val="22"/>
        </w:rPr>
        <w:t>Would you be able to send figures for numbers travelling on the Bidston to Neston part of the line. This year and last year. Any data on numbers using the Wrexham to Bidston train to/from and through Wirral.</w:t>
      </w:r>
    </w:p>
    <w:p w14:paraId="38528602" w14:textId="4AE92CEE" w:rsidR="00104C3B" w:rsidRPr="003A4243" w:rsidRDefault="003A4243" w:rsidP="003A4243">
      <w:pPr>
        <w:pStyle w:val="paragraph"/>
        <w:rPr>
          <w:rFonts w:ascii="Calibri" w:hAnsi="Calibri" w:cs="Calibri"/>
          <w:b/>
          <w:bCs/>
          <w:sz w:val="22"/>
          <w:szCs w:val="22"/>
        </w:rPr>
      </w:pPr>
      <w:r w:rsidRPr="003A4243">
        <w:rPr>
          <w:rFonts w:ascii="Calibri" w:hAnsi="Calibri" w:cs="Calibri"/>
          <w:b/>
          <w:bCs/>
          <w:sz w:val="22"/>
          <w:szCs w:val="22"/>
        </w:rPr>
        <w:t xml:space="preserve">Would you be able to give me an update on when the 1/2 hourly services will be in place and an update on where we are in getting a straight through to </w:t>
      </w:r>
      <w:proofErr w:type="spellStart"/>
      <w:r w:rsidRPr="003A4243">
        <w:rPr>
          <w:rFonts w:ascii="Calibri" w:hAnsi="Calibri" w:cs="Calibri"/>
          <w:b/>
          <w:bCs/>
          <w:sz w:val="22"/>
          <w:szCs w:val="22"/>
        </w:rPr>
        <w:t>Liverpoool</w:t>
      </w:r>
      <w:proofErr w:type="spellEnd"/>
      <w:r w:rsidRPr="003A4243">
        <w:rPr>
          <w:rFonts w:ascii="Calibri" w:hAnsi="Calibri" w:cs="Calibri"/>
          <w:b/>
          <w:bCs/>
          <w:sz w:val="22"/>
          <w:szCs w:val="22"/>
        </w:rPr>
        <w:t xml:space="preserve"> (or even Birkenhead North) line.</w:t>
      </w:r>
    </w:p>
    <w:p w14:paraId="261EF0D5" w14:textId="6B0A78E7" w:rsidR="00AA63E7" w:rsidRDefault="00AA63E7" w:rsidP="156E0B0A">
      <w:pPr>
        <w:spacing w:after="0" w:line="240" w:lineRule="auto"/>
        <w:rPr>
          <w:b/>
          <w:bCs/>
        </w:rPr>
      </w:pPr>
      <w:r w:rsidRPr="156E0B0A">
        <w:rPr>
          <w:b/>
          <w:bCs/>
        </w:rPr>
        <w:t>RESPONSE</w:t>
      </w:r>
    </w:p>
    <w:p w14:paraId="75C90C6C" w14:textId="77777777" w:rsidR="003A4243" w:rsidRDefault="003A4243" w:rsidP="156E0B0A">
      <w:pPr>
        <w:spacing w:after="0" w:line="240" w:lineRule="auto"/>
        <w:rPr>
          <w:b/>
          <w:bCs/>
        </w:rPr>
      </w:pPr>
    </w:p>
    <w:p w14:paraId="23153FB8" w14:textId="4F6D7950" w:rsidR="003A4243" w:rsidRPr="003A4243" w:rsidRDefault="003A4243" w:rsidP="156E0B0A">
      <w:pPr>
        <w:spacing w:after="0" w:line="240" w:lineRule="auto"/>
        <w:rPr>
          <w:u w:val="single"/>
        </w:rPr>
      </w:pPr>
      <w:r w:rsidRPr="003A4243">
        <w:rPr>
          <w:u w:val="single"/>
        </w:rPr>
        <w:t>Question 1</w:t>
      </w:r>
    </w:p>
    <w:p w14:paraId="7CBEE9ED" w14:textId="77777777" w:rsidR="003A4243" w:rsidRDefault="003A4243" w:rsidP="156E0B0A">
      <w:pPr>
        <w:spacing w:after="0" w:line="240" w:lineRule="auto"/>
        <w:rPr>
          <w:b/>
          <w:bCs/>
        </w:rPr>
      </w:pPr>
    </w:p>
    <w:p w14:paraId="2AF104B7" w14:textId="474DEE2E" w:rsidR="003A4243" w:rsidRPr="003A4243" w:rsidRDefault="003A4243" w:rsidP="003A4243">
      <w:pPr>
        <w:spacing w:after="0" w:line="240" w:lineRule="auto"/>
      </w:pPr>
      <w:r w:rsidRPr="003A4243">
        <w:t>The</w:t>
      </w:r>
      <w:r w:rsidRPr="003A4243">
        <w:t xml:space="preserve"> ORR Estimates of Station Usage data </w:t>
      </w:r>
      <w:r>
        <w:t>are</w:t>
      </w:r>
      <w:r w:rsidRPr="003A4243">
        <w:t xml:space="preserve"> publicly available (</w:t>
      </w:r>
      <w:hyperlink r:id="rId10" w:history="1">
        <w:r w:rsidRPr="003A4243">
          <w:rPr>
            <w:rStyle w:val="Hyperlink"/>
          </w:rPr>
          <w:t>here</w:t>
        </w:r>
      </w:hyperlink>
      <w:r w:rsidRPr="003A4243">
        <w:t>)</w:t>
      </w:r>
    </w:p>
    <w:p w14:paraId="7B4EA4BD" w14:textId="77777777" w:rsidR="003A4243" w:rsidRPr="003A4243" w:rsidRDefault="003A4243" w:rsidP="003A4243">
      <w:pPr>
        <w:spacing w:after="0" w:line="240" w:lineRule="auto"/>
      </w:pPr>
    </w:p>
    <w:p w14:paraId="542A40E5" w14:textId="1CFEA1F7" w:rsidR="003A4243" w:rsidRPr="003A4243" w:rsidRDefault="003A4243" w:rsidP="003A4243">
      <w:pPr>
        <w:spacing w:after="0" w:line="240" w:lineRule="auto"/>
      </w:pPr>
      <w:r w:rsidRPr="003A4243">
        <w:t>Please see below,</w:t>
      </w:r>
      <w:r w:rsidRPr="003A4243">
        <w:t xml:space="preserve"> the relevant stations for the last 2 financial years. </w:t>
      </w:r>
    </w:p>
    <w:p w14:paraId="036BF328" w14:textId="36F6F71A" w:rsidR="003A4243" w:rsidRPr="003A4243" w:rsidRDefault="003A4243" w:rsidP="003A4243">
      <w:pPr>
        <w:spacing w:after="0" w:line="240" w:lineRule="auto"/>
      </w:pPr>
    </w:p>
    <w:p w14:paraId="5F5C0658" w14:textId="77777777" w:rsidR="003A4243" w:rsidRPr="003A4243" w:rsidRDefault="003A4243" w:rsidP="003A4243">
      <w:pPr>
        <w:spacing w:after="0" w:line="240" w:lineRule="auto"/>
      </w:pPr>
    </w:p>
    <w:tbl>
      <w:tblPr>
        <w:tblW w:w="7043" w:type="dxa"/>
        <w:tblCellMar>
          <w:left w:w="0" w:type="dxa"/>
          <w:right w:w="0" w:type="dxa"/>
        </w:tblCellMar>
        <w:tblLook w:val="04A0" w:firstRow="1" w:lastRow="0" w:firstColumn="1" w:lastColumn="0" w:noHBand="0" w:noVBand="1"/>
      </w:tblPr>
      <w:tblGrid>
        <w:gridCol w:w="2151"/>
        <w:gridCol w:w="983"/>
        <w:gridCol w:w="983"/>
        <w:gridCol w:w="960"/>
        <w:gridCol w:w="983"/>
        <w:gridCol w:w="983"/>
      </w:tblGrid>
      <w:tr w:rsidR="003A4243" w:rsidRPr="003A4243" w14:paraId="48D57934" w14:textId="77777777" w:rsidTr="003A4243">
        <w:trPr>
          <w:trHeight w:val="300"/>
        </w:trPr>
        <w:tc>
          <w:tcPr>
            <w:tcW w:w="2151" w:type="dxa"/>
            <w:noWrap/>
            <w:tcMar>
              <w:top w:w="0" w:type="dxa"/>
              <w:left w:w="108" w:type="dxa"/>
              <w:bottom w:w="0" w:type="dxa"/>
              <w:right w:w="108" w:type="dxa"/>
            </w:tcMar>
            <w:vAlign w:val="bottom"/>
            <w:hideMark/>
          </w:tcPr>
          <w:p w14:paraId="686C3C60" w14:textId="77777777" w:rsidR="003A4243" w:rsidRPr="003A4243" w:rsidRDefault="003A4243" w:rsidP="003A4243">
            <w:pPr>
              <w:spacing w:after="0" w:line="240" w:lineRule="auto"/>
            </w:pPr>
          </w:p>
        </w:tc>
        <w:tc>
          <w:tcPr>
            <w:tcW w:w="1966" w:type="dxa"/>
            <w:gridSpan w:val="2"/>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hideMark/>
          </w:tcPr>
          <w:p w14:paraId="1B5529FC" w14:textId="77777777" w:rsidR="003A4243" w:rsidRPr="003A4243" w:rsidRDefault="003A4243" w:rsidP="003A4243">
            <w:pPr>
              <w:spacing w:after="0" w:line="240" w:lineRule="auto"/>
            </w:pPr>
            <w:r w:rsidRPr="003A4243">
              <w:t>Entries/Exits</w:t>
            </w:r>
          </w:p>
        </w:tc>
        <w:tc>
          <w:tcPr>
            <w:tcW w:w="960" w:type="dxa"/>
            <w:noWrap/>
            <w:tcMar>
              <w:top w:w="0" w:type="dxa"/>
              <w:left w:w="108" w:type="dxa"/>
              <w:bottom w:w="0" w:type="dxa"/>
              <w:right w:w="108" w:type="dxa"/>
            </w:tcMar>
            <w:vAlign w:val="bottom"/>
            <w:hideMark/>
          </w:tcPr>
          <w:p w14:paraId="2D386CBC" w14:textId="77777777" w:rsidR="003A4243" w:rsidRPr="003A4243" w:rsidRDefault="003A4243" w:rsidP="003A4243">
            <w:pPr>
              <w:spacing w:after="0" w:line="240" w:lineRule="auto"/>
            </w:pPr>
          </w:p>
        </w:tc>
        <w:tc>
          <w:tcPr>
            <w:tcW w:w="1966" w:type="dxa"/>
            <w:gridSpan w:val="2"/>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hideMark/>
          </w:tcPr>
          <w:p w14:paraId="68B02702" w14:textId="77777777" w:rsidR="003A4243" w:rsidRPr="003A4243" w:rsidRDefault="003A4243" w:rsidP="003A4243">
            <w:pPr>
              <w:spacing w:after="0" w:line="240" w:lineRule="auto"/>
            </w:pPr>
            <w:r w:rsidRPr="003A4243">
              <w:t>Interchange</w:t>
            </w:r>
          </w:p>
        </w:tc>
      </w:tr>
      <w:tr w:rsidR="003A4243" w:rsidRPr="003A4243" w14:paraId="447FF19F" w14:textId="77777777" w:rsidTr="003A4243">
        <w:trPr>
          <w:trHeight w:val="300"/>
        </w:trPr>
        <w:tc>
          <w:tcPr>
            <w:tcW w:w="2151"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hideMark/>
          </w:tcPr>
          <w:p w14:paraId="409794EF" w14:textId="77777777" w:rsidR="003A4243" w:rsidRPr="003A4243" w:rsidRDefault="003A4243" w:rsidP="003A4243">
            <w:pPr>
              <w:spacing w:after="0" w:line="240" w:lineRule="auto"/>
            </w:pPr>
            <w:r w:rsidRPr="003A4243">
              <w:t>Station</w:t>
            </w:r>
          </w:p>
        </w:tc>
        <w:tc>
          <w:tcPr>
            <w:tcW w:w="98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hideMark/>
          </w:tcPr>
          <w:p w14:paraId="123974E3" w14:textId="77777777" w:rsidR="003A4243" w:rsidRPr="003A4243" w:rsidRDefault="003A4243" w:rsidP="003A4243">
            <w:pPr>
              <w:spacing w:after="0" w:line="240" w:lineRule="auto"/>
            </w:pPr>
            <w:r w:rsidRPr="003A4243">
              <w:t>2021/22</w:t>
            </w:r>
          </w:p>
        </w:tc>
        <w:tc>
          <w:tcPr>
            <w:tcW w:w="98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hideMark/>
          </w:tcPr>
          <w:p w14:paraId="4145D6B2" w14:textId="77777777" w:rsidR="003A4243" w:rsidRPr="003A4243" w:rsidRDefault="003A4243" w:rsidP="003A4243">
            <w:pPr>
              <w:spacing w:after="0" w:line="240" w:lineRule="auto"/>
            </w:pPr>
            <w:r w:rsidRPr="003A4243">
              <w:t>2022/23</w:t>
            </w:r>
          </w:p>
        </w:tc>
        <w:tc>
          <w:tcPr>
            <w:tcW w:w="960" w:type="dxa"/>
            <w:noWrap/>
            <w:tcMar>
              <w:top w:w="0" w:type="dxa"/>
              <w:left w:w="108" w:type="dxa"/>
              <w:bottom w:w="0" w:type="dxa"/>
              <w:right w:w="108" w:type="dxa"/>
            </w:tcMar>
            <w:vAlign w:val="bottom"/>
            <w:hideMark/>
          </w:tcPr>
          <w:p w14:paraId="2F4A4747" w14:textId="77777777" w:rsidR="003A4243" w:rsidRPr="003A4243" w:rsidRDefault="003A4243" w:rsidP="003A4243">
            <w:pPr>
              <w:spacing w:after="0" w:line="240" w:lineRule="auto"/>
            </w:pPr>
          </w:p>
        </w:tc>
        <w:tc>
          <w:tcPr>
            <w:tcW w:w="983"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hideMark/>
          </w:tcPr>
          <w:p w14:paraId="4F9D35C0" w14:textId="77777777" w:rsidR="003A4243" w:rsidRPr="003A4243" w:rsidRDefault="003A4243" w:rsidP="003A4243">
            <w:pPr>
              <w:spacing w:after="0" w:line="240" w:lineRule="auto"/>
            </w:pPr>
            <w:r w:rsidRPr="003A4243">
              <w:t>2021/22</w:t>
            </w:r>
          </w:p>
        </w:tc>
        <w:tc>
          <w:tcPr>
            <w:tcW w:w="98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hideMark/>
          </w:tcPr>
          <w:p w14:paraId="5D23E11D" w14:textId="77777777" w:rsidR="003A4243" w:rsidRPr="003A4243" w:rsidRDefault="003A4243" w:rsidP="003A4243">
            <w:pPr>
              <w:spacing w:after="0" w:line="240" w:lineRule="auto"/>
            </w:pPr>
            <w:r w:rsidRPr="003A4243">
              <w:t>2022/23</w:t>
            </w:r>
          </w:p>
        </w:tc>
      </w:tr>
      <w:tr w:rsidR="003A4243" w:rsidRPr="003A4243" w14:paraId="5910DB8B" w14:textId="77777777" w:rsidTr="003A4243">
        <w:trPr>
          <w:trHeight w:val="300"/>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6543AA" w14:textId="77777777" w:rsidR="003A4243" w:rsidRPr="003A4243" w:rsidRDefault="003A4243" w:rsidP="003A4243">
            <w:pPr>
              <w:spacing w:after="0" w:line="240" w:lineRule="auto"/>
            </w:pPr>
            <w:r w:rsidRPr="003A4243">
              <w:t>Neston</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E1C7F7" w14:textId="77777777" w:rsidR="003A4243" w:rsidRPr="003A4243" w:rsidRDefault="003A4243" w:rsidP="003A4243">
            <w:pPr>
              <w:spacing w:after="0" w:line="240" w:lineRule="auto"/>
            </w:pPr>
            <w:r w:rsidRPr="003A4243">
              <w:t>24,074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14EA2" w14:textId="77777777" w:rsidR="003A4243" w:rsidRPr="003A4243" w:rsidRDefault="003A4243" w:rsidP="003A4243">
            <w:pPr>
              <w:spacing w:after="0" w:line="240" w:lineRule="auto"/>
            </w:pPr>
            <w:r w:rsidRPr="003A4243">
              <w:t>33,242</w:t>
            </w:r>
          </w:p>
        </w:tc>
        <w:tc>
          <w:tcPr>
            <w:tcW w:w="960" w:type="dxa"/>
            <w:noWrap/>
            <w:tcMar>
              <w:top w:w="0" w:type="dxa"/>
              <w:left w:w="108" w:type="dxa"/>
              <w:bottom w:w="0" w:type="dxa"/>
              <w:right w:w="108" w:type="dxa"/>
            </w:tcMar>
            <w:vAlign w:val="bottom"/>
            <w:hideMark/>
          </w:tcPr>
          <w:p w14:paraId="68F27916" w14:textId="77777777" w:rsidR="003A4243" w:rsidRPr="003A4243" w:rsidRDefault="003A4243" w:rsidP="003A4243">
            <w:pPr>
              <w:spacing w:after="0" w:line="240" w:lineRule="auto"/>
            </w:pPr>
          </w:p>
        </w:tc>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C31D6" w14:textId="77777777" w:rsidR="003A4243" w:rsidRPr="003A4243" w:rsidRDefault="003A4243" w:rsidP="003A4243">
            <w:pPr>
              <w:spacing w:after="0" w:line="240" w:lineRule="auto"/>
            </w:pPr>
            <w:r w:rsidRPr="003A4243">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0A75A" w14:textId="77777777" w:rsidR="003A4243" w:rsidRPr="003A4243" w:rsidRDefault="003A4243" w:rsidP="003A4243">
            <w:pPr>
              <w:spacing w:after="0" w:line="240" w:lineRule="auto"/>
            </w:pPr>
            <w:r w:rsidRPr="003A4243">
              <w:t>0</w:t>
            </w:r>
          </w:p>
        </w:tc>
      </w:tr>
      <w:tr w:rsidR="003A4243" w:rsidRPr="003A4243" w14:paraId="0284CB5F" w14:textId="77777777" w:rsidTr="003A4243">
        <w:trPr>
          <w:trHeight w:val="300"/>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35802" w14:textId="77777777" w:rsidR="003A4243" w:rsidRPr="003A4243" w:rsidRDefault="003A4243" w:rsidP="003A4243">
            <w:pPr>
              <w:spacing w:after="0" w:line="240" w:lineRule="auto"/>
            </w:pPr>
            <w:r w:rsidRPr="003A4243">
              <w:t>Heswall</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142FE0" w14:textId="77777777" w:rsidR="003A4243" w:rsidRPr="003A4243" w:rsidRDefault="003A4243" w:rsidP="003A4243">
            <w:pPr>
              <w:spacing w:after="0" w:line="240" w:lineRule="auto"/>
            </w:pPr>
            <w:r w:rsidRPr="003A4243">
              <w:t>51,680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D74A1" w14:textId="77777777" w:rsidR="003A4243" w:rsidRPr="003A4243" w:rsidRDefault="003A4243" w:rsidP="003A4243">
            <w:pPr>
              <w:spacing w:after="0" w:line="240" w:lineRule="auto"/>
            </w:pPr>
            <w:r w:rsidRPr="003A4243">
              <w:t>60,182</w:t>
            </w:r>
          </w:p>
        </w:tc>
        <w:tc>
          <w:tcPr>
            <w:tcW w:w="960" w:type="dxa"/>
            <w:noWrap/>
            <w:tcMar>
              <w:top w:w="0" w:type="dxa"/>
              <w:left w:w="108" w:type="dxa"/>
              <w:bottom w:w="0" w:type="dxa"/>
              <w:right w:w="108" w:type="dxa"/>
            </w:tcMar>
            <w:vAlign w:val="bottom"/>
            <w:hideMark/>
          </w:tcPr>
          <w:p w14:paraId="5BEFE634" w14:textId="77777777" w:rsidR="003A4243" w:rsidRPr="003A4243" w:rsidRDefault="003A4243" w:rsidP="003A4243">
            <w:pPr>
              <w:spacing w:after="0" w:line="240" w:lineRule="auto"/>
            </w:pPr>
          </w:p>
        </w:tc>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F4F0E" w14:textId="77777777" w:rsidR="003A4243" w:rsidRPr="003A4243" w:rsidRDefault="003A4243" w:rsidP="003A4243">
            <w:pPr>
              <w:spacing w:after="0" w:line="240" w:lineRule="auto"/>
            </w:pPr>
            <w:r w:rsidRPr="003A4243">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6890B8" w14:textId="77777777" w:rsidR="003A4243" w:rsidRPr="003A4243" w:rsidRDefault="003A4243" w:rsidP="003A4243">
            <w:pPr>
              <w:spacing w:after="0" w:line="240" w:lineRule="auto"/>
            </w:pPr>
            <w:r w:rsidRPr="003A4243">
              <w:t>0</w:t>
            </w:r>
          </w:p>
        </w:tc>
      </w:tr>
      <w:tr w:rsidR="003A4243" w:rsidRPr="003A4243" w14:paraId="49851420" w14:textId="77777777" w:rsidTr="003A4243">
        <w:trPr>
          <w:trHeight w:val="300"/>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7ABDF9" w14:textId="77777777" w:rsidR="003A4243" w:rsidRPr="003A4243" w:rsidRDefault="003A4243" w:rsidP="003A4243">
            <w:pPr>
              <w:spacing w:after="0" w:line="240" w:lineRule="auto"/>
            </w:pPr>
            <w:r w:rsidRPr="003A4243">
              <w:t>Upton (Merseyside)</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6D7B7" w14:textId="77777777" w:rsidR="003A4243" w:rsidRPr="003A4243" w:rsidRDefault="003A4243" w:rsidP="003A4243">
            <w:pPr>
              <w:spacing w:after="0" w:line="240" w:lineRule="auto"/>
            </w:pPr>
            <w:r w:rsidRPr="003A4243">
              <w:t>12,784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E8BA7" w14:textId="77777777" w:rsidR="003A4243" w:rsidRPr="003A4243" w:rsidRDefault="003A4243" w:rsidP="003A4243">
            <w:pPr>
              <w:spacing w:after="0" w:line="240" w:lineRule="auto"/>
            </w:pPr>
            <w:r w:rsidRPr="003A4243">
              <w:t>18,278</w:t>
            </w:r>
          </w:p>
        </w:tc>
        <w:tc>
          <w:tcPr>
            <w:tcW w:w="960" w:type="dxa"/>
            <w:noWrap/>
            <w:tcMar>
              <w:top w:w="0" w:type="dxa"/>
              <w:left w:w="108" w:type="dxa"/>
              <w:bottom w:w="0" w:type="dxa"/>
              <w:right w:w="108" w:type="dxa"/>
            </w:tcMar>
            <w:vAlign w:val="bottom"/>
            <w:hideMark/>
          </w:tcPr>
          <w:p w14:paraId="05E06F65" w14:textId="77777777" w:rsidR="003A4243" w:rsidRPr="003A4243" w:rsidRDefault="003A4243" w:rsidP="003A4243">
            <w:pPr>
              <w:spacing w:after="0" w:line="240" w:lineRule="auto"/>
            </w:pPr>
          </w:p>
        </w:tc>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1E347C" w14:textId="77777777" w:rsidR="003A4243" w:rsidRPr="003A4243" w:rsidRDefault="003A4243" w:rsidP="003A4243">
            <w:pPr>
              <w:spacing w:after="0" w:line="240" w:lineRule="auto"/>
            </w:pPr>
            <w:r w:rsidRPr="003A4243">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34C4" w14:textId="77777777" w:rsidR="003A4243" w:rsidRPr="003A4243" w:rsidRDefault="003A4243" w:rsidP="003A4243">
            <w:pPr>
              <w:spacing w:after="0" w:line="240" w:lineRule="auto"/>
            </w:pPr>
            <w:r w:rsidRPr="003A4243">
              <w:t>0</w:t>
            </w:r>
          </w:p>
        </w:tc>
      </w:tr>
      <w:tr w:rsidR="003A4243" w:rsidRPr="003A4243" w14:paraId="5D54E2A9" w14:textId="77777777" w:rsidTr="003A4243">
        <w:trPr>
          <w:trHeight w:val="300"/>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61F010" w14:textId="77777777" w:rsidR="003A4243" w:rsidRPr="003A4243" w:rsidRDefault="003A4243" w:rsidP="003A4243">
            <w:pPr>
              <w:spacing w:after="0" w:line="240" w:lineRule="auto"/>
            </w:pPr>
            <w:r w:rsidRPr="003A4243">
              <w:t>Bidston</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434085" w14:textId="77777777" w:rsidR="003A4243" w:rsidRPr="003A4243" w:rsidRDefault="003A4243" w:rsidP="003A4243">
            <w:pPr>
              <w:spacing w:after="0" w:line="240" w:lineRule="auto"/>
            </w:pPr>
            <w:r w:rsidRPr="003A4243">
              <w:t>236,994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F1CB0" w14:textId="77777777" w:rsidR="003A4243" w:rsidRPr="003A4243" w:rsidRDefault="003A4243" w:rsidP="003A4243">
            <w:pPr>
              <w:spacing w:after="0" w:line="240" w:lineRule="auto"/>
            </w:pPr>
            <w:r w:rsidRPr="003A4243">
              <w:t>270,874</w:t>
            </w:r>
          </w:p>
        </w:tc>
        <w:tc>
          <w:tcPr>
            <w:tcW w:w="960" w:type="dxa"/>
            <w:noWrap/>
            <w:tcMar>
              <w:top w:w="0" w:type="dxa"/>
              <w:left w:w="108" w:type="dxa"/>
              <w:bottom w:w="0" w:type="dxa"/>
              <w:right w:w="108" w:type="dxa"/>
            </w:tcMar>
            <w:vAlign w:val="bottom"/>
            <w:hideMark/>
          </w:tcPr>
          <w:p w14:paraId="4ECC54D8" w14:textId="77777777" w:rsidR="003A4243" w:rsidRPr="003A4243" w:rsidRDefault="003A4243" w:rsidP="003A4243">
            <w:pPr>
              <w:spacing w:after="0" w:line="240" w:lineRule="auto"/>
            </w:pPr>
          </w:p>
        </w:tc>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DFB232" w14:textId="77777777" w:rsidR="003A4243" w:rsidRPr="003A4243" w:rsidRDefault="003A4243" w:rsidP="003A4243">
            <w:pPr>
              <w:spacing w:after="0" w:line="240" w:lineRule="auto"/>
            </w:pPr>
            <w:r w:rsidRPr="003A4243">
              <w:t>68,227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3E5D5" w14:textId="77777777" w:rsidR="003A4243" w:rsidRPr="003A4243" w:rsidRDefault="003A4243" w:rsidP="003A4243">
            <w:pPr>
              <w:spacing w:after="0" w:line="240" w:lineRule="auto"/>
            </w:pPr>
            <w:r w:rsidRPr="003A4243">
              <w:t>76,964</w:t>
            </w:r>
          </w:p>
        </w:tc>
      </w:tr>
    </w:tbl>
    <w:p w14:paraId="670145C2" w14:textId="77777777" w:rsidR="003A4243" w:rsidRPr="003A4243" w:rsidRDefault="003A4243" w:rsidP="156E0B0A">
      <w:pPr>
        <w:spacing w:after="0" w:line="240" w:lineRule="auto"/>
      </w:pPr>
    </w:p>
    <w:p w14:paraId="397AF2F6" w14:textId="77777777" w:rsidR="003A4243" w:rsidRDefault="003A4243" w:rsidP="156E0B0A">
      <w:pPr>
        <w:spacing w:after="0" w:line="240" w:lineRule="auto"/>
        <w:rPr>
          <w:b/>
          <w:bCs/>
        </w:rPr>
      </w:pPr>
    </w:p>
    <w:p w14:paraId="317F578E" w14:textId="32D5F280" w:rsidR="003A4243" w:rsidRPr="003A4243" w:rsidRDefault="003A4243" w:rsidP="156E0B0A">
      <w:pPr>
        <w:spacing w:after="0" w:line="240" w:lineRule="auto"/>
        <w:rPr>
          <w:u w:val="single"/>
        </w:rPr>
      </w:pPr>
      <w:r w:rsidRPr="003A4243">
        <w:rPr>
          <w:u w:val="single"/>
        </w:rPr>
        <w:t>Question 2</w:t>
      </w:r>
    </w:p>
    <w:p w14:paraId="20A35B86" w14:textId="77777777" w:rsidR="003A4243" w:rsidRPr="003A4243" w:rsidRDefault="003A4243" w:rsidP="156E0B0A">
      <w:pPr>
        <w:spacing w:after="0" w:line="240" w:lineRule="auto"/>
        <w:rPr>
          <w:u w:val="single"/>
        </w:rPr>
      </w:pPr>
    </w:p>
    <w:p w14:paraId="240B0295" w14:textId="76AED63F" w:rsidR="003A4243" w:rsidRPr="003A4243" w:rsidRDefault="003A4243" w:rsidP="003A4243">
      <w:pPr>
        <w:spacing w:after="0" w:line="240" w:lineRule="auto"/>
      </w:pPr>
      <w:r w:rsidRPr="003A4243">
        <w:t>T</w:t>
      </w:r>
      <w:r w:rsidRPr="003A4243">
        <w:t xml:space="preserve">here is no immediate plan to increment the frequency to 30 minutes. </w:t>
      </w:r>
    </w:p>
    <w:p w14:paraId="556EDC5A" w14:textId="77777777" w:rsidR="003A4243" w:rsidRPr="003A4243" w:rsidRDefault="003A4243" w:rsidP="003A4243">
      <w:pPr>
        <w:spacing w:after="0" w:line="240" w:lineRule="auto"/>
      </w:pPr>
    </w:p>
    <w:p w14:paraId="19085AD0" w14:textId="77777777" w:rsidR="003A4243" w:rsidRPr="003A4243" w:rsidRDefault="003A4243" w:rsidP="003A4243">
      <w:pPr>
        <w:spacing w:after="0" w:line="240" w:lineRule="auto"/>
      </w:pPr>
      <w:r w:rsidRPr="003A4243">
        <w:t xml:space="preserve">TfW have been working with Liverpool City Region Combined Authority (LCRCA) and Network Rail on developing the design and business case for improved services on the Borderlands Line, including direct services into Liverpool City Centre. To date much of this has been funded by Welsh Government.  LCRCA will be leading the next phase of work to complete an Outline Business Case for the Department for Transport building on the development to date. We will continue to work with LCRCA and Network Rail to progress these connectivity improvements. </w:t>
      </w:r>
    </w:p>
    <w:p w14:paraId="77EBB225" w14:textId="77777777" w:rsidR="003A4243" w:rsidRDefault="003A4243" w:rsidP="156E0B0A">
      <w:pPr>
        <w:spacing w:after="0" w:line="240" w:lineRule="auto"/>
        <w:rPr>
          <w:b/>
          <w:bCs/>
        </w:rPr>
      </w:pPr>
    </w:p>
    <w:p w14:paraId="7B336337" w14:textId="4C9B3F5E" w:rsidR="003A4243" w:rsidRPr="003A4243" w:rsidRDefault="003A4243" w:rsidP="003A4243">
      <w:pPr>
        <w:spacing w:after="0" w:line="240" w:lineRule="auto"/>
      </w:pPr>
      <w:r w:rsidRPr="003A4243">
        <w:t>Please see the information</w:t>
      </w:r>
      <w:r w:rsidRPr="003A4243">
        <w:t xml:space="preserve"> published on the Future Timetable Review at</w:t>
      </w:r>
    </w:p>
    <w:p w14:paraId="7D723F5F" w14:textId="77777777" w:rsidR="003A4243" w:rsidRPr="003A4243" w:rsidRDefault="003A4243" w:rsidP="003A4243">
      <w:pPr>
        <w:spacing w:after="0" w:line="240" w:lineRule="auto"/>
      </w:pPr>
      <w:hyperlink r:id="rId11" w:history="1">
        <w:r w:rsidRPr="003A4243">
          <w:rPr>
            <w:rStyle w:val="Hyperlink"/>
          </w:rPr>
          <w:t>https://haveyoursay.tfw.wales/strategic-future-timetable</w:t>
        </w:r>
        <w:r w:rsidRPr="003A4243">
          <w:rPr>
            <w:rStyle w:val="Hyperlink"/>
          </w:rPr>
          <w:t>-</w:t>
        </w:r>
        <w:r w:rsidRPr="003A4243">
          <w:rPr>
            <w:rStyle w:val="Hyperlink"/>
          </w:rPr>
          <w:t>review</w:t>
        </w:r>
      </w:hyperlink>
    </w:p>
    <w:p w14:paraId="282561E6" w14:textId="77777777" w:rsidR="003A4243" w:rsidRDefault="003A4243" w:rsidP="156E0B0A">
      <w:pPr>
        <w:spacing w:after="0" w:line="240" w:lineRule="auto"/>
        <w:rPr>
          <w:b/>
          <w:bCs/>
        </w:rPr>
      </w:pPr>
    </w:p>
    <w:p w14:paraId="6F91D7EC" w14:textId="77777777" w:rsidR="004B27E1" w:rsidRDefault="004B27E1"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4"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5"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1342E"/>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4243"/>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32876868">
      <w:bodyDiv w:val="1"/>
      <w:marLeft w:val="0"/>
      <w:marRight w:val="0"/>
      <w:marTop w:val="0"/>
      <w:marBottom w:val="0"/>
      <w:divBdr>
        <w:top w:val="none" w:sz="0" w:space="0" w:color="auto"/>
        <w:left w:val="none" w:sz="0" w:space="0" w:color="auto"/>
        <w:bottom w:val="none" w:sz="0" w:space="0" w:color="auto"/>
        <w:right w:val="none" w:sz="0" w:space="0" w:color="auto"/>
      </w:divBdr>
    </w:div>
    <w:div w:id="1099443734">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274360061">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87679728">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36361650">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6643925">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29440050">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2986345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haveyoursay.tfw.wales%2Fstrategic-future-timetable-review&amp;data=05%7C02%7CFreedomofinformation%40tfw.wales%7Cb80f740e415f4e026b4508dcf359bd7f%7C87dcd024301948269956ba76b2a04ff4%7C0%7C0%7C638652813952242788%7CUnknown%7CTWFpbGZsb3d8eyJWIjoiMC4wLjAwMDAiLCJQIjoiV2luMzIiLCJBTiI6Ik1haWwiLCJXVCI6Mn0%3D%7C0%7C%7C%7C&amp;sdata=VswDlVP6KIgKzniWXuLrb5c3GtkpZrVYYEgXQB%2Bv19k%3D&amp;reserved=0"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https://eur03.safelinks.protection.outlook.com/?url=https%3A%2F%2Fdataportal.orr.gov.uk%2Fstatistics%2Fusage%2Festimates-of-station-usage%2F&amp;data=05%7C02%7CFreedomofinformation%40tfw.wales%7Cd2a367c2c89a42e810ab08dcf5012c00%7C87dcd024301948269956ba76b2a04ff4%7C0%7C0%7C638654632580166602%7CUnknown%7CTWFpbGZsb3d8eyJWIjoiMC4wLjAwMDAiLCJQIjoiV2luMzIiLCJBTiI6Ik1haWwiLCJXVCI6Mn0%3D%7C0%7C%7C%7C&amp;sdata=WG4STT9DtDNhH3ukiqsbP1NCTUgDkdgpAi%2Bka49dhU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information@tfw.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2229</Characters>
  <Application>Microsoft Office Word</Application>
  <DocSecurity>0</DocSecurity>
  <Lines>58</Lines>
  <Paragraphs>25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2024-11-07T11:01:00Z</dcterms:created>
  <dcterms:modified xsi:type="dcterms:W3CDTF">2024-11-07T11:01:00Z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