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50129487"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A621D5">
        <w:rPr>
          <w:rStyle w:val="normaltextrun"/>
          <w:rFonts w:ascii="Calibri" w:hAnsi="Calibri" w:cs="Calibri"/>
          <w:b/>
          <w:bCs/>
          <w:sz w:val="22"/>
          <w:szCs w:val="22"/>
        </w:rPr>
        <w:t xml:space="preserve"> </w:t>
      </w:r>
      <w:r w:rsidR="00622FE7">
        <w:rPr>
          <w:rStyle w:val="normaltextrun"/>
          <w:rFonts w:ascii="Calibri" w:hAnsi="Calibri" w:cs="Calibri"/>
          <w:sz w:val="22"/>
          <w:szCs w:val="22"/>
        </w:rPr>
        <w:t xml:space="preserve"> </w:t>
      </w:r>
      <w:r w:rsidR="007628F0">
        <w:rPr>
          <w:rStyle w:val="normaltextrun"/>
          <w:rFonts w:ascii="Calibri" w:hAnsi="Calibri" w:cs="Calibri"/>
          <w:sz w:val="22"/>
          <w:szCs w:val="22"/>
        </w:rPr>
        <w:t>3</w:t>
      </w:r>
      <w:r w:rsidR="007628F0">
        <w:rPr>
          <w:rStyle w:val="normaltextrun"/>
          <w:rFonts w:ascii="Calibri" w:hAnsi="Calibri" w:cs="Calibri"/>
          <w:sz w:val="22"/>
          <w:szCs w:val="22"/>
          <w:vertAlign w:val="superscript"/>
        </w:rPr>
        <w:t xml:space="preserve">rd </w:t>
      </w:r>
      <w:r w:rsidR="00622FE7">
        <w:rPr>
          <w:rStyle w:val="normaltextrun"/>
          <w:rFonts w:ascii="Calibri" w:hAnsi="Calibri" w:cs="Calibri"/>
          <w:sz w:val="22"/>
          <w:szCs w:val="22"/>
        </w:rPr>
        <w:t>of September</w:t>
      </w:r>
      <w:r w:rsidR="00505423">
        <w:rPr>
          <w:rStyle w:val="normaltextrun"/>
          <w:rFonts w:ascii="Calibri" w:hAnsi="Calibri" w:cs="Calibri"/>
          <w:sz w:val="22"/>
          <w:szCs w:val="22"/>
        </w:rPr>
        <w:t xml:space="preserve"> </w:t>
      </w:r>
      <w:r w:rsidR="00461A8E">
        <w:rPr>
          <w:rStyle w:val="normaltextrun"/>
          <w:rFonts w:ascii="Calibri" w:hAnsi="Calibri" w:cs="Calibri"/>
          <w:sz w:val="22"/>
          <w:szCs w:val="22"/>
        </w:rPr>
        <w:t>2025</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62661932"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4126A8">
        <w:rPr>
          <w:rStyle w:val="normaltextrun"/>
          <w:rFonts w:ascii="Calibri" w:hAnsi="Calibri" w:cs="Calibri"/>
          <w:b/>
          <w:bCs/>
          <w:color w:val="FF0000"/>
          <w:sz w:val="28"/>
          <w:szCs w:val="28"/>
        </w:rPr>
        <w:t>187</w:t>
      </w:r>
      <w:r w:rsidR="002438E2">
        <w:rPr>
          <w:rStyle w:val="normaltextrun"/>
          <w:rFonts w:ascii="Calibri" w:hAnsi="Calibri" w:cs="Calibri"/>
          <w:b/>
          <w:bCs/>
          <w:color w:val="FF0000"/>
          <w:sz w:val="28"/>
          <w:szCs w:val="28"/>
        </w:rPr>
        <w:t>/25</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2926B0C4" w14:textId="77777777" w:rsidR="00A621D5" w:rsidRDefault="00344DED" w:rsidP="00A621D5">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5BB63DD9" w14:textId="77777777" w:rsidR="00C83296" w:rsidRPr="00C83296" w:rsidRDefault="00C83296" w:rsidP="00C83296">
      <w:pPr>
        <w:pStyle w:val="paragraph"/>
        <w:spacing w:before="0" w:beforeAutospacing="0" w:after="0" w:afterAutospacing="0"/>
        <w:textAlignment w:val="baseline"/>
        <w:rPr>
          <w:rStyle w:val="normaltextrun"/>
          <w:rFonts w:ascii="Calibri" w:hAnsi="Calibri" w:cs="Calibri"/>
          <w:b/>
          <w:bCs/>
          <w:sz w:val="22"/>
          <w:szCs w:val="22"/>
        </w:rPr>
      </w:pPr>
    </w:p>
    <w:p w14:paraId="4EA8747D" w14:textId="77777777" w:rsidR="007628F0" w:rsidRPr="007628F0" w:rsidRDefault="007628F0" w:rsidP="007628F0">
      <w:pPr>
        <w:spacing w:after="0" w:line="240" w:lineRule="auto"/>
        <w:rPr>
          <w:b/>
          <w:bCs/>
        </w:rPr>
      </w:pPr>
      <w:r w:rsidRPr="007628F0">
        <w:rPr>
          <w:b/>
          <w:bCs/>
        </w:rPr>
        <w:t>Under the Freedom of Information Act 2000, I would like to request the following information regarding driver training on the Class 756 rolling stock operated by Transport for Wales:</w:t>
      </w:r>
    </w:p>
    <w:p w14:paraId="2F89C324" w14:textId="77777777" w:rsidR="007628F0" w:rsidRPr="007628F0" w:rsidRDefault="007628F0" w:rsidP="007628F0">
      <w:pPr>
        <w:spacing w:after="0" w:line="240" w:lineRule="auto"/>
        <w:rPr>
          <w:b/>
          <w:bCs/>
        </w:rPr>
      </w:pPr>
    </w:p>
    <w:p w14:paraId="53100CDA" w14:textId="77777777" w:rsidR="007628F0" w:rsidRPr="007628F0" w:rsidRDefault="007628F0" w:rsidP="007628F0">
      <w:pPr>
        <w:spacing w:after="0" w:line="240" w:lineRule="auto"/>
        <w:rPr>
          <w:b/>
          <w:bCs/>
        </w:rPr>
      </w:pPr>
      <w:r w:rsidRPr="007628F0">
        <w:rPr>
          <w:b/>
          <w:bCs/>
        </w:rPr>
        <w:t>• Training Materials and Syllabuses:</w:t>
      </w:r>
    </w:p>
    <w:p w14:paraId="29C9D9B1" w14:textId="77777777" w:rsidR="007628F0" w:rsidRPr="007628F0" w:rsidRDefault="007628F0" w:rsidP="007628F0">
      <w:pPr>
        <w:spacing w:after="0" w:line="240" w:lineRule="auto"/>
        <w:rPr>
          <w:b/>
          <w:bCs/>
        </w:rPr>
      </w:pPr>
      <w:r w:rsidRPr="007628F0">
        <w:rPr>
          <w:b/>
          <w:bCs/>
        </w:rPr>
        <w:t xml:space="preserve"> A copy of the training materials or curriculum used to train drivers on the Train Control and Management System (TCMS) in Class 756 units.</w:t>
      </w:r>
    </w:p>
    <w:p w14:paraId="3FB1349E" w14:textId="77777777" w:rsidR="007628F0" w:rsidRPr="007628F0" w:rsidRDefault="007628F0" w:rsidP="007628F0">
      <w:pPr>
        <w:spacing w:after="0" w:line="240" w:lineRule="auto"/>
        <w:rPr>
          <w:b/>
          <w:bCs/>
        </w:rPr>
      </w:pPr>
    </w:p>
    <w:p w14:paraId="0C3C58A9" w14:textId="77777777" w:rsidR="007628F0" w:rsidRPr="007628F0" w:rsidRDefault="007628F0" w:rsidP="007628F0">
      <w:pPr>
        <w:spacing w:after="0" w:line="240" w:lineRule="auto"/>
        <w:rPr>
          <w:b/>
          <w:bCs/>
        </w:rPr>
      </w:pPr>
      <w:r w:rsidRPr="007628F0">
        <w:rPr>
          <w:b/>
          <w:bCs/>
        </w:rPr>
        <w:t>• Day-to-Day TCMS Usage:</w:t>
      </w:r>
    </w:p>
    <w:p w14:paraId="0221F4E9" w14:textId="77777777" w:rsidR="007628F0" w:rsidRPr="007628F0" w:rsidRDefault="007628F0" w:rsidP="007628F0">
      <w:pPr>
        <w:spacing w:after="0" w:line="240" w:lineRule="auto"/>
        <w:rPr>
          <w:b/>
          <w:bCs/>
        </w:rPr>
      </w:pPr>
      <w:r w:rsidRPr="007628F0">
        <w:rPr>
          <w:b/>
          <w:bCs/>
        </w:rPr>
        <w:t>Information on how drivers are trained to use the TCMS in daily operations. This should include tasks such as:</w:t>
      </w:r>
    </w:p>
    <w:p w14:paraId="6BBD33E2" w14:textId="77777777" w:rsidR="007628F0" w:rsidRPr="007628F0" w:rsidRDefault="007628F0" w:rsidP="007628F0">
      <w:pPr>
        <w:spacing w:after="0" w:line="240" w:lineRule="auto"/>
        <w:rPr>
          <w:b/>
          <w:bCs/>
        </w:rPr>
      </w:pPr>
    </w:p>
    <w:p w14:paraId="547C4982" w14:textId="77777777" w:rsidR="007628F0" w:rsidRPr="007628F0" w:rsidRDefault="007628F0" w:rsidP="007628F0">
      <w:pPr>
        <w:spacing w:after="0" w:line="240" w:lineRule="auto"/>
        <w:rPr>
          <w:b/>
          <w:bCs/>
        </w:rPr>
      </w:pPr>
      <w:r w:rsidRPr="007628F0">
        <w:rPr>
          <w:b/>
          <w:bCs/>
        </w:rPr>
        <w:t>- Powering up and initialising the TCMS.</w:t>
      </w:r>
    </w:p>
    <w:p w14:paraId="3F1CDA11" w14:textId="77777777" w:rsidR="007628F0" w:rsidRPr="007628F0" w:rsidRDefault="007628F0" w:rsidP="007628F0">
      <w:pPr>
        <w:spacing w:after="0" w:line="240" w:lineRule="auto"/>
        <w:rPr>
          <w:b/>
          <w:bCs/>
        </w:rPr>
      </w:pPr>
    </w:p>
    <w:p w14:paraId="50E68FD9" w14:textId="77777777" w:rsidR="007628F0" w:rsidRPr="007628F0" w:rsidRDefault="007628F0" w:rsidP="007628F0">
      <w:pPr>
        <w:spacing w:after="0" w:line="240" w:lineRule="auto"/>
        <w:rPr>
          <w:b/>
          <w:bCs/>
        </w:rPr>
      </w:pPr>
      <w:r w:rsidRPr="007628F0">
        <w:rPr>
          <w:b/>
          <w:bCs/>
        </w:rPr>
        <w:t>- Interaction with any touchscreens or HMI components.</w:t>
      </w:r>
    </w:p>
    <w:p w14:paraId="38295139" w14:textId="77777777" w:rsidR="007628F0" w:rsidRPr="007628F0" w:rsidRDefault="007628F0" w:rsidP="007628F0">
      <w:pPr>
        <w:spacing w:after="0" w:line="240" w:lineRule="auto"/>
        <w:rPr>
          <w:b/>
          <w:bCs/>
        </w:rPr>
      </w:pPr>
    </w:p>
    <w:p w14:paraId="241DC5EF" w14:textId="77777777" w:rsidR="007628F0" w:rsidRPr="007628F0" w:rsidRDefault="007628F0" w:rsidP="007628F0">
      <w:pPr>
        <w:spacing w:after="0" w:line="240" w:lineRule="auto"/>
        <w:rPr>
          <w:b/>
          <w:bCs/>
        </w:rPr>
      </w:pPr>
      <w:r w:rsidRPr="007628F0">
        <w:rPr>
          <w:b/>
          <w:bCs/>
        </w:rPr>
        <w:t>- How the system supports train preparation and in-service functionality.</w:t>
      </w:r>
    </w:p>
    <w:p w14:paraId="253F2D94" w14:textId="77777777" w:rsidR="007628F0" w:rsidRPr="007628F0" w:rsidRDefault="007628F0" w:rsidP="007628F0">
      <w:pPr>
        <w:spacing w:after="0" w:line="240" w:lineRule="auto"/>
        <w:rPr>
          <w:b/>
          <w:bCs/>
        </w:rPr>
      </w:pPr>
    </w:p>
    <w:p w14:paraId="03C452BF" w14:textId="77777777" w:rsidR="007628F0" w:rsidRPr="007628F0" w:rsidRDefault="007628F0" w:rsidP="007628F0">
      <w:pPr>
        <w:spacing w:after="0" w:line="240" w:lineRule="auto"/>
        <w:rPr>
          <w:b/>
          <w:bCs/>
        </w:rPr>
      </w:pPr>
      <w:r w:rsidRPr="007628F0">
        <w:rPr>
          <w:b/>
          <w:bCs/>
        </w:rPr>
        <w:t>• On-Board Announcements:</w:t>
      </w:r>
    </w:p>
    <w:p w14:paraId="1DA723E8" w14:textId="77777777" w:rsidR="007628F0" w:rsidRPr="007628F0" w:rsidRDefault="007628F0" w:rsidP="007628F0">
      <w:pPr>
        <w:spacing w:after="0" w:line="240" w:lineRule="auto"/>
        <w:rPr>
          <w:b/>
          <w:bCs/>
        </w:rPr>
      </w:pPr>
      <w:r w:rsidRPr="007628F0">
        <w:rPr>
          <w:b/>
          <w:bCs/>
        </w:rPr>
        <w:t>Specific details on how the TCMS is used by drivers to:</w:t>
      </w:r>
    </w:p>
    <w:p w14:paraId="30194FCD" w14:textId="77777777" w:rsidR="007628F0" w:rsidRPr="007628F0" w:rsidRDefault="007628F0" w:rsidP="007628F0">
      <w:pPr>
        <w:spacing w:after="0" w:line="240" w:lineRule="auto"/>
        <w:rPr>
          <w:b/>
          <w:bCs/>
        </w:rPr>
      </w:pPr>
    </w:p>
    <w:p w14:paraId="5617411D" w14:textId="77777777" w:rsidR="007628F0" w:rsidRPr="007628F0" w:rsidRDefault="007628F0" w:rsidP="007628F0">
      <w:pPr>
        <w:spacing w:after="0" w:line="240" w:lineRule="auto"/>
        <w:rPr>
          <w:b/>
          <w:bCs/>
        </w:rPr>
      </w:pPr>
      <w:r w:rsidRPr="007628F0">
        <w:rPr>
          <w:b/>
          <w:bCs/>
        </w:rPr>
        <w:t>- Set up or trigger automated or manual on-board announcements.</w:t>
      </w:r>
    </w:p>
    <w:p w14:paraId="5529E6FA" w14:textId="77777777" w:rsidR="007628F0" w:rsidRPr="007628F0" w:rsidRDefault="007628F0" w:rsidP="007628F0">
      <w:pPr>
        <w:spacing w:after="0" w:line="240" w:lineRule="auto"/>
        <w:rPr>
          <w:b/>
          <w:bCs/>
        </w:rPr>
      </w:pPr>
    </w:p>
    <w:p w14:paraId="438EDECF" w14:textId="77777777" w:rsidR="007628F0" w:rsidRPr="007628F0" w:rsidRDefault="007628F0" w:rsidP="007628F0">
      <w:pPr>
        <w:spacing w:after="0" w:line="240" w:lineRule="auto"/>
        <w:rPr>
          <w:b/>
          <w:bCs/>
        </w:rPr>
      </w:pPr>
      <w:r w:rsidRPr="007628F0">
        <w:rPr>
          <w:b/>
          <w:bCs/>
        </w:rPr>
        <w:t>- Select destination information or passenger information displays (PIS).</w:t>
      </w:r>
    </w:p>
    <w:p w14:paraId="5B068ACE" w14:textId="77777777" w:rsidR="007628F0" w:rsidRPr="007628F0" w:rsidRDefault="007628F0" w:rsidP="007628F0">
      <w:pPr>
        <w:spacing w:after="0" w:line="240" w:lineRule="auto"/>
        <w:rPr>
          <w:b/>
          <w:bCs/>
        </w:rPr>
      </w:pPr>
    </w:p>
    <w:p w14:paraId="2507F859" w14:textId="77777777" w:rsidR="007628F0" w:rsidRPr="007628F0" w:rsidRDefault="007628F0" w:rsidP="007628F0">
      <w:pPr>
        <w:spacing w:after="0" w:line="240" w:lineRule="auto"/>
        <w:rPr>
          <w:b/>
          <w:bCs/>
        </w:rPr>
      </w:pPr>
      <w:r w:rsidRPr="007628F0">
        <w:rPr>
          <w:b/>
          <w:bCs/>
        </w:rPr>
        <w:t>- Any presets or manual input required by the driver during or before service.</w:t>
      </w:r>
    </w:p>
    <w:p w14:paraId="3DCF3D4F" w14:textId="77777777" w:rsidR="007628F0" w:rsidRPr="007628F0" w:rsidRDefault="007628F0" w:rsidP="007628F0">
      <w:pPr>
        <w:spacing w:after="0" w:line="240" w:lineRule="auto"/>
        <w:rPr>
          <w:b/>
          <w:bCs/>
        </w:rPr>
      </w:pPr>
    </w:p>
    <w:p w14:paraId="526FC468" w14:textId="77777777" w:rsidR="007628F0" w:rsidRPr="007628F0" w:rsidRDefault="007628F0" w:rsidP="007628F0">
      <w:pPr>
        <w:spacing w:after="0" w:line="240" w:lineRule="auto"/>
        <w:rPr>
          <w:b/>
          <w:bCs/>
        </w:rPr>
      </w:pPr>
      <w:r w:rsidRPr="007628F0">
        <w:rPr>
          <w:b/>
          <w:bCs/>
        </w:rPr>
        <w:t>• Assessment or Competency Checks:</w:t>
      </w:r>
    </w:p>
    <w:p w14:paraId="24CEB947" w14:textId="77777777" w:rsidR="007628F0" w:rsidRPr="007628F0" w:rsidRDefault="007628F0" w:rsidP="007628F0">
      <w:pPr>
        <w:spacing w:after="0" w:line="240" w:lineRule="auto"/>
        <w:rPr>
          <w:b/>
          <w:bCs/>
        </w:rPr>
      </w:pPr>
      <w:r w:rsidRPr="007628F0">
        <w:rPr>
          <w:b/>
          <w:bCs/>
        </w:rPr>
        <w:t>Information on how drivers are assessed for competency in operating the TCMS on Class 756 units. This should include:</w:t>
      </w:r>
    </w:p>
    <w:p w14:paraId="29A6970F" w14:textId="77777777" w:rsidR="007628F0" w:rsidRPr="007628F0" w:rsidRDefault="007628F0" w:rsidP="007628F0">
      <w:pPr>
        <w:spacing w:after="0" w:line="240" w:lineRule="auto"/>
        <w:rPr>
          <w:b/>
          <w:bCs/>
        </w:rPr>
      </w:pPr>
    </w:p>
    <w:p w14:paraId="76FDF21D" w14:textId="77777777" w:rsidR="007628F0" w:rsidRPr="007628F0" w:rsidRDefault="007628F0" w:rsidP="007628F0">
      <w:pPr>
        <w:spacing w:after="0" w:line="240" w:lineRule="auto"/>
        <w:rPr>
          <w:b/>
          <w:bCs/>
        </w:rPr>
      </w:pPr>
      <w:r w:rsidRPr="007628F0">
        <w:rPr>
          <w:b/>
          <w:bCs/>
        </w:rPr>
        <w:t>- Any formal assessments, checklists, or practical evaluations.</w:t>
      </w:r>
    </w:p>
    <w:p w14:paraId="073E304F" w14:textId="77777777" w:rsidR="007628F0" w:rsidRPr="007628F0" w:rsidRDefault="007628F0" w:rsidP="007628F0">
      <w:pPr>
        <w:spacing w:after="0" w:line="240" w:lineRule="auto"/>
        <w:rPr>
          <w:b/>
          <w:bCs/>
        </w:rPr>
      </w:pPr>
    </w:p>
    <w:p w14:paraId="77CFFE38" w14:textId="77777777" w:rsidR="007628F0" w:rsidRPr="007628F0" w:rsidRDefault="007628F0" w:rsidP="007628F0">
      <w:pPr>
        <w:spacing w:after="0" w:line="240" w:lineRule="auto"/>
        <w:rPr>
          <w:b/>
          <w:bCs/>
        </w:rPr>
      </w:pPr>
      <w:r w:rsidRPr="007628F0">
        <w:rPr>
          <w:b/>
          <w:bCs/>
        </w:rPr>
        <w:t>- Specific coverage of how brake tests are conducted and assessed via the TCMS or any associated systems.</w:t>
      </w:r>
    </w:p>
    <w:p w14:paraId="01589B0A" w14:textId="77777777" w:rsidR="007628F0" w:rsidRPr="007628F0" w:rsidRDefault="007628F0" w:rsidP="007628F0">
      <w:pPr>
        <w:spacing w:after="0" w:line="240" w:lineRule="auto"/>
        <w:rPr>
          <w:b/>
          <w:bCs/>
        </w:rPr>
      </w:pPr>
    </w:p>
    <w:p w14:paraId="3F40894D" w14:textId="77777777" w:rsidR="007628F0" w:rsidRPr="007628F0" w:rsidRDefault="007628F0" w:rsidP="007628F0">
      <w:pPr>
        <w:spacing w:after="0" w:line="240" w:lineRule="auto"/>
        <w:rPr>
          <w:b/>
          <w:bCs/>
        </w:rPr>
      </w:pPr>
      <w:r w:rsidRPr="007628F0">
        <w:rPr>
          <w:b/>
          <w:bCs/>
        </w:rPr>
        <w:t>- Frequency of re-assessment or refresher training.</w:t>
      </w:r>
    </w:p>
    <w:p w14:paraId="48227BD8" w14:textId="77777777" w:rsidR="00F447A7" w:rsidRDefault="00F447A7" w:rsidP="00A621D5">
      <w:pPr>
        <w:spacing w:after="0" w:line="240" w:lineRule="auto"/>
        <w:rPr>
          <w:b/>
          <w:bCs/>
        </w:rPr>
      </w:pPr>
    </w:p>
    <w:p w14:paraId="261EF0D5" w14:textId="747503DF" w:rsidR="00AA63E7" w:rsidRDefault="00AA63E7" w:rsidP="156E0B0A">
      <w:pPr>
        <w:spacing w:after="0" w:line="240" w:lineRule="auto"/>
        <w:rPr>
          <w:b/>
          <w:bCs/>
        </w:rPr>
      </w:pPr>
      <w:r w:rsidRPr="156E0B0A">
        <w:rPr>
          <w:b/>
          <w:bCs/>
        </w:rPr>
        <w:t>RESPONSE</w:t>
      </w:r>
    </w:p>
    <w:p w14:paraId="1F468FB7" w14:textId="697E0C06" w:rsidR="007B30D6" w:rsidRDefault="007B30D6" w:rsidP="007628F0">
      <w:pPr>
        <w:spacing w:before="120" w:after="120" w:line="240" w:lineRule="auto"/>
      </w:pPr>
      <w:r>
        <w:t>Please see attached documents in relation to your request. Redactions within these documents have been applied to information not relevant to your request and to information which is exempt by virtue of the following exemptions -</w:t>
      </w:r>
    </w:p>
    <w:p w14:paraId="4834E630" w14:textId="77777777" w:rsidR="007B30D6" w:rsidRDefault="007B30D6" w:rsidP="007628F0">
      <w:pPr>
        <w:spacing w:before="120" w:after="120" w:line="240" w:lineRule="auto"/>
      </w:pPr>
    </w:p>
    <w:p w14:paraId="1719438C" w14:textId="4C574475" w:rsidR="007B30D6" w:rsidRDefault="007B30D6" w:rsidP="007628F0">
      <w:pPr>
        <w:spacing w:before="120" w:after="120" w:line="240" w:lineRule="auto"/>
        <w:rPr>
          <w:rFonts w:cstheme="minorHAnsi"/>
          <w:b/>
          <w:bCs/>
        </w:rPr>
      </w:pPr>
      <w:r>
        <w:rPr>
          <w:rFonts w:cstheme="minorHAnsi"/>
          <w:b/>
          <w:bCs/>
        </w:rPr>
        <w:lastRenderedPageBreak/>
        <w:t>Section 38 – Health and Safety</w:t>
      </w:r>
    </w:p>
    <w:p w14:paraId="107C4A40" w14:textId="17C70311" w:rsidR="007B30D6" w:rsidRDefault="007B30D6" w:rsidP="007628F0">
      <w:pPr>
        <w:spacing w:before="120" w:after="120" w:line="240" w:lineRule="auto"/>
        <w:rPr>
          <w:rFonts w:cstheme="minorHAnsi"/>
          <w:b/>
          <w:bCs/>
        </w:rPr>
      </w:pPr>
      <w:r>
        <w:rPr>
          <w:rFonts w:cstheme="minorHAnsi"/>
          <w:b/>
          <w:bCs/>
        </w:rPr>
        <w:t>Section 40 - Data Protection</w:t>
      </w:r>
    </w:p>
    <w:p w14:paraId="645E05CF" w14:textId="77777777" w:rsidR="007B30D6" w:rsidRDefault="007B30D6" w:rsidP="007B30D6">
      <w:pPr>
        <w:spacing w:before="120" w:after="120" w:line="240" w:lineRule="auto"/>
        <w:rPr>
          <w:rFonts w:cstheme="minorHAnsi"/>
          <w:b/>
          <w:bCs/>
        </w:rPr>
      </w:pPr>
      <w:r w:rsidRPr="00E501F1">
        <w:rPr>
          <w:rFonts w:cstheme="minorHAnsi"/>
          <w:b/>
          <w:bCs/>
        </w:rPr>
        <w:t>Section 43(2) – Commercial Interest</w:t>
      </w:r>
      <w:r>
        <w:rPr>
          <w:rFonts w:cstheme="minorHAnsi"/>
          <w:b/>
          <w:bCs/>
        </w:rPr>
        <w:t>s</w:t>
      </w:r>
    </w:p>
    <w:p w14:paraId="192966EB" w14:textId="77777777" w:rsidR="007B30D6" w:rsidRPr="00E501F1" w:rsidRDefault="007B30D6" w:rsidP="007628F0">
      <w:pPr>
        <w:spacing w:before="120" w:after="120" w:line="240" w:lineRule="auto"/>
        <w:rPr>
          <w:rFonts w:cstheme="minorHAnsi"/>
          <w:b/>
          <w:bCs/>
        </w:rPr>
      </w:pPr>
    </w:p>
    <w:p w14:paraId="2C93F06F" w14:textId="2237D47F" w:rsidR="007628F0" w:rsidRDefault="007628F0" w:rsidP="007628F0">
      <w:pPr>
        <w:spacing w:before="120" w:after="120" w:line="240" w:lineRule="auto"/>
        <w:rPr>
          <w:rFonts w:cstheme="minorHAnsi"/>
        </w:rPr>
      </w:pPr>
      <w:r w:rsidRPr="00E501F1">
        <w:rPr>
          <w:rFonts w:cstheme="minorHAnsi"/>
        </w:rPr>
        <w:t>Section</w:t>
      </w:r>
      <w:r w:rsidR="007B30D6">
        <w:rPr>
          <w:rFonts w:cstheme="minorHAnsi"/>
        </w:rPr>
        <w:t>s</w:t>
      </w:r>
      <w:r w:rsidRPr="00E501F1">
        <w:rPr>
          <w:rFonts w:cstheme="minorHAnsi"/>
        </w:rPr>
        <w:t xml:space="preserve"> </w:t>
      </w:r>
      <w:r w:rsidR="007B30D6">
        <w:rPr>
          <w:rFonts w:cstheme="minorHAnsi"/>
        </w:rPr>
        <w:t>38 and 43 are</w:t>
      </w:r>
      <w:r w:rsidRPr="00E501F1">
        <w:rPr>
          <w:rFonts w:cstheme="minorHAnsi"/>
        </w:rPr>
        <w:t xml:space="preserve"> qualified, prejudice-based exemption</w:t>
      </w:r>
      <w:r w:rsidR="007B30D6">
        <w:rPr>
          <w:rFonts w:cstheme="minorHAnsi"/>
        </w:rPr>
        <w:t>s</w:t>
      </w:r>
      <w:r w:rsidRPr="00E501F1">
        <w:rPr>
          <w:rFonts w:cstheme="minorHAnsi"/>
        </w:rPr>
        <w:t xml:space="preserve"> which require the authority to consider the public interest in disclosure.</w:t>
      </w:r>
    </w:p>
    <w:p w14:paraId="710DEA6E" w14:textId="422B3E07" w:rsidR="007B30D6" w:rsidRPr="007B30D6" w:rsidRDefault="007B30D6" w:rsidP="007628F0">
      <w:pPr>
        <w:spacing w:before="120" w:after="120" w:line="240" w:lineRule="auto"/>
        <w:rPr>
          <w:rFonts w:cstheme="minorHAnsi"/>
          <w:b/>
          <w:bCs/>
          <w:u w:val="single"/>
        </w:rPr>
      </w:pPr>
      <w:r w:rsidRPr="007B30D6">
        <w:rPr>
          <w:rFonts w:cstheme="minorHAnsi"/>
          <w:b/>
          <w:bCs/>
          <w:u w:val="single"/>
        </w:rPr>
        <w:t>Section 38</w:t>
      </w:r>
    </w:p>
    <w:p w14:paraId="427BA618" w14:textId="77777777" w:rsidR="007628F0" w:rsidRPr="00E501F1" w:rsidRDefault="007628F0" w:rsidP="007628F0">
      <w:pPr>
        <w:spacing w:before="120" w:after="120" w:line="240" w:lineRule="auto"/>
        <w:rPr>
          <w:rFonts w:cstheme="minorHAnsi"/>
          <w:b/>
          <w:bCs/>
        </w:rPr>
      </w:pPr>
      <w:r w:rsidRPr="00E501F1">
        <w:rPr>
          <w:rFonts w:cstheme="minorHAnsi"/>
          <w:b/>
          <w:bCs/>
        </w:rPr>
        <w:t>Factors Favouring Disclosure</w:t>
      </w:r>
    </w:p>
    <w:p w14:paraId="1C9FC368" w14:textId="77777777" w:rsidR="007628F0" w:rsidRDefault="007628F0" w:rsidP="007628F0">
      <w:pPr>
        <w:spacing w:before="120" w:after="120" w:line="240" w:lineRule="auto"/>
        <w:rPr>
          <w:rFonts w:cstheme="minorHAnsi"/>
        </w:rPr>
      </w:pPr>
      <w:r w:rsidRPr="00E501F1">
        <w:rPr>
          <w:rFonts w:cstheme="minorHAnsi"/>
        </w:rPr>
        <w:t>Disclosing this information would promote openness and transparency and may contribute to public debate.</w:t>
      </w:r>
    </w:p>
    <w:p w14:paraId="23F9E6C6" w14:textId="61C1C54E" w:rsidR="007B30D6" w:rsidRDefault="007B30D6" w:rsidP="007628F0">
      <w:pPr>
        <w:spacing w:before="120" w:after="120" w:line="240" w:lineRule="auto"/>
        <w:rPr>
          <w:rFonts w:cstheme="minorHAnsi"/>
          <w:b/>
          <w:bCs/>
        </w:rPr>
      </w:pPr>
      <w:r w:rsidRPr="007B30D6">
        <w:rPr>
          <w:rFonts w:cstheme="minorHAnsi"/>
          <w:b/>
          <w:bCs/>
        </w:rPr>
        <w:t>Factors Favouring Non</w:t>
      </w:r>
      <w:r>
        <w:rPr>
          <w:rFonts w:cstheme="minorHAnsi"/>
          <w:b/>
          <w:bCs/>
        </w:rPr>
        <w:t>-</w:t>
      </w:r>
      <w:r w:rsidRPr="007B30D6">
        <w:rPr>
          <w:rFonts w:cstheme="minorHAnsi"/>
          <w:b/>
          <w:bCs/>
        </w:rPr>
        <w:t>Disclosure</w:t>
      </w:r>
    </w:p>
    <w:p w14:paraId="6261BB44" w14:textId="57A9618D" w:rsidR="007B30D6" w:rsidRDefault="007B30D6" w:rsidP="00D9148D">
      <w:pPr>
        <w:spacing w:after="0" w:line="240" w:lineRule="auto"/>
      </w:pPr>
      <w:r>
        <w:t>TFW must consider the health and safety of its staff, customers and the wider community. Releasing this information into the public domain could give individuals with nefarious interests, the information needed to</w:t>
      </w:r>
      <w:r w:rsidR="00D9148D">
        <w:t xml:space="preserve"> move a train and</w:t>
      </w:r>
      <w:r>
        <w:t xml:space="preserve"> endanger the health and safety of the public and TFW staff.</w:t>
      </w:r>
    </w:p>
    <w:p w14:paraId="4112B1AF" w14:textId="77777777" w:rsidR="00D9148D" w:rsidRDefault="00D9148D" w:rsidP="00D9148D">
      <w:pPr>
        <w:spacing w:after="0" w:line="240" w:lineRule="auto"/>
      </w:pPr>
    </w:p>
    <w:p w14:paraId="37698077" w14:textId="408CE65A" w:rsidR="00D9148D" w:rsidRDefault="00D9148D" w:rsidP="00D9148D">
      <w:pPr>
        <w:spacing w:after="0" w:line="240" w:lineRule="auto"/>
        <w:rPr>
          <w:b/>
          <w:bCs/>
        </w:rPr>
      </w:pPr>
      <w:r w:rsidRPr="00D9148D">
        <w:rPr>
          <w:b/>
          <w:bCs/>
        </w:rPr>
        <w:t>Balancing Test</w:t>
      </w:r>
    </w:p>
    <w:p w14:paraId="34B11FD8" w14:textId="77777777" w:rsidR="00D9148D" w:rsidRDefault="00D9148D" w:rsidP="00D9148D">
      <w:pPr>
        <w:spacing w:after="0" w:line="240" w:lineRule="auto"/>
        <w:rPr>
          <w:b/>
          <w:bCs/>
        </w:rPr>
      </w:pPr>
    </w:p>
    <w:p w14:paraId="17B7D186" w14:textId="77777777" w:rsidR="00D9148D" w:rsidRDefault="00D9148D" w:rsidP="00D9148D">
      <w:pPr>
        <w:spacing w:after="0" w:line="240" w:lineRule="auto"/>
      </w:pPr>
      <w:r>
        <w:t>TFW must consider the health and safety of its staff, customers and the wider community. Releasing this information into the public domain could give individuals with nefarious interests, the information needed to endanger the health and safety of the public and TFW staff.</w:t>
      </w:r>
    </w:p>
    <w:p w14:paraId="01EDBD67" w14:textId="77777777" w:rsidR="00D9148D" w:rsidRDefault="00D9148D" w:rsidP="00D9148D">
      <w:pPr>
        <w:spacing w:after="0" w:line="240" w:lineRule="auto"/>
      </w:pPr>
    </w:p>
    <w:p w14:paraId="73156B07" w14:textId="39CF69E8" w:rsidR="00D9148D" w:rsidRDefault="00D9148D" w:rsidP="00D9148D">
      <w:pPr>
        <w:spacing w:after="0" w:line="240" w:lineRule="auto"/>
      </w:pPr>
      <w:r>
        <w:t>On balance, TFW must protect and prioritise the health and safety of their staff and the community and so the balance in this case, lies in favour of non-disclosure.</w:t>
      </w:r>
    </w:p>
    <w:p w14:paraId="69ABBCDC" w14:textId="77777777" w:rsidR="00D9148D" w:rsidRDefault="00D9148D" w:rsidP="00D9148D">
      <w:pPr>
        <w:spacing w:after="0" w:line="240" w:lineRule="auto"/>
      </w:pPr>
    </w:p>
    <w:p w14:paraId="521D9DF8" w14:textId="7164CCC2" w:rsidR="00D9148D" w:rsidRDefault="00D9148D" w:rsidP="00D9148D">
      <w:pPr>
        <w:spacing w:after="0" w:line="240" w:lineRule="auto"/>
        <w:rPr>
          <w:b/>
          <w:bCs/>
        </w:rPr>
      </w:pPr>
      <w:r w:rsidRPr="00D9148D">
        <w:rPr>
          <w:b/>
          <w:bCs/>
          <w:u w:val="single"/>
        </w:rPr>
        <w:t>Section 43</w:t>
      </w:r>
      <w:r w:rsidRPr="00D9148D">
        <w:rPr>
          <w:b/>
          <w:bCs/>
        </w:rPr>
        <w:t xml:space="preserve"> </w:t>
      </w:r>
    </w:p>
    <w:p w14:paraId="02447D44" w14:textId="77777777" w:rsidR="00D9148D" w:rsidRDefault="00D9148D" w:rsidP="00D9148D">
      <w:pPr>
        <w:spacing w:after="0" w:line="240" w:lineRule="auto"/>
        <w:rPr>
          <w:b/>
          <w:bCs/>
        </w:rPr>
      </w:pPr>
    </w:p>
    <w:p w14:paraId="75905542" w14:textId="354C4C99" w:rsidR="00D9148D" w:rsidRDefault="00D9148D" w:rsidP="00D9148D">
      <w:pPr>
        <w:spacing w:after="0" w:line="240" w:lineRule="auto"/>
      </w:pPr>
      <w:r w:rsidRPr="00D9148D">
        <w:t>Much of the redacted information relates to icons and operational information specific to Stadler.</w:t>
      </w:r>
    </w:p>
    <w:p w14:paraId="289B6D0B" w14:textId="77777777" w:rsidR="00D9148D" w:rsidRDefault="00D9148D" w:rsidP="00D9148D">
      <w:pPr>
        <w:spacing w:after="0" w:line="240" w:lineRule="auto"/>
      </w:pPr>
    </w:p>
    <w:p w14:paraId="0A98DDBF" w14:textId="3E5E7463" w:rsidR="00D9148D" w:rsidRDefault="00D9148D" w:rsidP="00D9148D">
      <w:pPr>
        <w:spacing w:after="0" w:line="240" w:lineRule="auto"/>
        <w:rPr>
          <w:b/>
          <w:bCs/>
        </w:rPr>
      </w:pPr>
      <w:r w:rsidRPr="00D9148D">
        <w:rPr>
          <w:b/>
          <w:bCs/>
        </w:rPr>
        <w:t>Factors favouring disclosure</w:t>
      </w:r>
    </w:p>
    <w:p w14:paraId="4E8E8831" w14:textId="77777777" w:rsidR="00D9148D" w:rsidRDefault="00D9148D" w:rsidP="00D9148D">
      <w:pPr>
        <w:spacing w:after="0" w:line="240" w:lineRule="auto"/>
        <w:rPr>
          <w:b/>
          <w:bCs/>
        </w:rPr>
      </w:pPr>
    </w:p>
    <w:p w14:paraId="502EE477" w14:textId="7971EB74" w:rsidR="00D9148D" w:rsidRPr="00D9148D" w:rsidRDefault="00D9148D" w:rsidP="00D9148D">
      <w:pPr>
        <w:spacing w:after="0" w:line="240" w:lineRule="auto"/>
      </w:pPr>
      <w:r w:rsidRPr="00D9148D">
        <w:t>As with S38, Transport for Wales are committed to transparency.</w:t>
      </w:r>
    </w:p>
    <w:p w14:paraId="38183AB5" w14:textId="77777777" w:rsidR="007628F0" w:rsidRPr="00E501F1" w:rsidRDefault="007628F0" w:rsidP="007628F0">
      <w:pPr>
        <w:spacing w:before="120" w:after="120" w:line="240" w:lineRule="auto"/>
        <w:rPr>
          <w:rFonts w:cstheme="minorHAnsi"/>
          <w:b/>
          <w:bCs/>
        </w:rPr>
      </w:pPr>
      <w:r w:rsidRPr="00E501F1">
        <w:rPr>
          <w:rFonts w:cstheme="minorHAnsi"/>
          <w:b/>
          <w:bCs/>
        </w:rPr>
        <w:t>Factors Favouring Non-Disclosure</w:t>
      </w:r>
    </w:p>
    <w:p w14:paraId="14910800" w14:textId="77777777" w:rsidR="007628F0" w:rsidRPr="00E501F1" w:rsidRDefault="007628F0" w:rsidP="007628F0">
      <w:pPr>
        <w:spacing w:before="120" w:after="120" w:line="240" w:lineRule="auto"/>
        <w:rPr>
          <w:rFonts w:cstheme="minorHAnsi"/>
        </w:rPr>
      </w:pPr>
      <w:r w:rsidRPr="00E501F1">
        <w:rPr>
          <w:rFonts w:cstheme="minorHAnsi"/>
        </w:rPr>
        <w:t>Under the Freedom of Information Act (FOIA) 2000, the commercial interest exemption S.43 (2) states that information is exempt information if its disclosure under the FOIA would, or would be likely to, prejudice the commercial interests of any person.</w:t>
      </w:r>
    </w:p>
    <w:p w14:paraId="1AEC9E1A" w14:textId="711BC927" w:rsidR="007628F0" w:rsidRPr="00E501F1" w:rsidRDefault="007628F0" w:rsidP="007628F0">
      <w:pPr>
        <w:spacing w:before="120" w:after="120" w:line="240" w:lineRule="auto"/>
        <w:rPr>
          <w:rFonts w:cstheme="minorHAnsi"/>
        </w:rPr>
      </w:pPr>
      <w:r w:rsidRPr="00E501F1">
        <w:rPr>
          <w:rFonts w:cstheme="minorHAnsi"/>
        </w:rPr>
        <w:t xml:space="preserve">A disclosure in response to a Freedom of Information Request is not a disclosure to the individual applicant but a release into the public domain. Publicly disclosing these details would be likely to prejudice the commercial interests of </w:t>
      </w:r>
      <w:r w:rsidR="00D9148D">
        <w:rPr>
          <w:rFonts w:cstheme="minorHAnsi"/>
        </w:rPr>
        <w:t>Stadler</w:t>
      </w:r>
      <w:r>
        <w:rPr>
          <w:rFonts w:cstheme="minorHAnsi"/>
        </w:rPr>
        <w:t>.</w:t>
      </w:r>
    </w:p>
    <w:p w14:paraId="1E0A2BD7" w14:textId="77777777" w:rsidR="007628F0" w:rsidRPr="00E501F1" w:rsidRDefault="007628F0" w:rsidP="007628F0">
      <w:pPr>
        <w:spacing w:before="120" w:after="120" w:line="240" w:lineRule="auto"/>
        <w:rPr>
          <w:rFonts w:cstheme="minorHAnsi"/>
          <w:b/>
          <w:bCs/>
          <w:u w:val="single"/>
        </w:rPr>
      </w:pPr>
      <w:r w:rsidRPr="00E501F1">
        <w:rPr>
          <w:rFonts w:cstheme="minorHAnsi"/>
          <w:b/>
          <w:bCs/>
          <w:u w:val="single"/>
        </w:rPr>
        <w:t>Balancing Test</w:t>
      </w:r>
    </w:p>
    <w:p w14:paraId="15D6A214" w14:textId="77777777" w:rsidR="00D9148D" w:rsidRDefault="007628F0" w:rsidP="007628F0">
      <w:pPr>
        <w:spacing w:before="120" w:after="120" w:line="240" w:lineRule="auto"/>
        <w:rPr>
          <w:rFonts w:cstheme="minorHAnsi"/>
        </w:rPr>
      </w:pPr>
      <w:r w:rsidRPr="00E501F1">
        <w:rPr>
          <w:rFonts w:cstheme="minorHAnsi"/>
        </w:rPr>
        <w:t>Before deciding which of these arguments is most compelling, a balancing test needs to be completed.</w:t>
      </w:r>
    </w:p>
    <w:p w14:paraId="07408C16" w14:textId="66149090" w:rsidR="007628F0" w:rsidRPr="00E501F1" w:rsidRDefault="007628F0" w:rsidP="007628F0">
      <w:pPr>
        <w:spacing w:before="120" w:after="120" w:line="240" w:lineRule="auto"/>
        <w:rPr>
          <w:rFonts w:cstheme="minorHAnsi"/>
        </w:rPr>
      </w:pPr>
      <w:r w:rsidRPr="00E501F1">
        <w:rPr>
          <w:rFonts w:cstheme="minorHAnsi"/>
        </w:rPr>
        <w:t>In this case, the key factor favouring non-disclosure is the commercial interests of</w:t>
      </w:r>
      <w:r>
        <w:rPr>
          <w:rFonts w:cstheme="minorHAnsi"/>
        </w:rPr>
        <w:t xml:space="preserve"> </w:t>
      </w:r>
      <w:r w:rsidR="00D9148D">
        <w:rPr>
          <w:rFonts w:cstheme="minorHAnsi"/>
        </w:rPr>
        <w:t xml:space="preserve">Stadler </w:t>
      </w:r>
      <w:r w:rsidRPr="00E501F1">
        <w:rPr>
          <w:rFonts w:cstheme="minorHAnsi"/>
        </w:rPr>
        <w:t>and this needs to be weighed against the key factor favouring disclosure which concerns transparency.</w:t>
      </w:r>
    </w:p>
    <w:p w14:paraId="524ADC37" w14:textId="24F91CC5" w:rsidR="007628F0" w:rsidRDefault="007628F0" w:rsidP="007628F0">
      <w:pPr>
        <w:spacing w:before="120" w:after="120" w:line="240" w:lineRule="auto"/>
        <w:rPr>
          <w:rFonts w:cstheme="minorHAnsi"/>
        </w:rPr>
      </w:pPr>
      <w:r w:rsidRPr="00E501F1">
        <w:rPr>
          <w:rFonts w:cstheme="minorHAnsi"/>
        </w:rPr>
        <w:lastRenderedPageBreak/>
        <w:t xml:space="preserve">While it is accepted that accountability and demonstrating transparency is a strong factor favouring disclosure. We have determined that greater weight must be given to protecting the commercial interests of </w:t>
      </w:r>
      <w:r w:rsidR="00D9148D">
        <w:rPr>
          <w:rFonts w:cstheme="minorHAnsi"/>
        </w:rPr>
        <w:t>Stadler</w:t>
      </w:r>
      <w:r w:rsidRPr="00E501F1">
        <w:rPr>
          <w:rFonts w:cstheme="minorHAnsi"/>
        </w:rPr>
        <w:t>.</w:t>
      </w:r>
    </w:p>
    <w:p w14:paraId="004BB1A3" w14:textId="1CFCBBEB" w:rsidR="00D9148D" w:rsidRDefault="007628F0" w:rsidP="00D9148D">
      <w:pPr>
        <w:spacing w:before="120" w:after="120" w:line="240" w:lineRule="auto"/>
        <w:rPr>
          <w:rFonts w:cstheme="minorHAnsi"/>
        </w:rPr>
      </w:pPr>
      <w:r>
        <w:rPr>
          <w:rFonts w:cstheme="minorHAnsi"/>
        </w:rPr>
        <w:t xml:space="preserve">Releasing the requested information would be of a disadvantage to </w:t>
      </w:r>
      <w:r w:rsidR="00D9148D">
        <w:rPr>
          <w:rFonts w:cstheme="minorHAnsi"/>
        </w:rPr>
        <w:t>Stadler</w:t>
      </w:r>
      <w:r>
        <w:rPr>
          <w:rFonts w:cstheme="minorHAnsi"/>
        </w:rPr>
        <w:t xml:space="preserve"> if seen by competitors</w:t>
      </w:r>
      <w:r w:rsidR="00D9148D">
        <w:rPr>
          <w:rFonts w:cstheme="minorHAnsi"/>
        </w:rPr>
        <w:t xml:space="preserve">, thus affecting </w:t>
      </w:r>
      <w:r w:rsidR="00D9148D">
        <w:rPr>
          <w:rFonts w:cstheme="minorHAnsi"/>
        </w:rPr>
        <w:t>their ability to compete fairly in the market.</w:t>
      </w:r>
    </w:p>
    <w:p w14:paraId="1BA971D0" w14:textId="77777777" w:rsidR="00D9148D" w:rsidRPr="001F4561" w:rsidRDefault="00D9148D" w:rsidP="00D9148D">
      <w:pPr>
        <w:spacing w:after="0"/>
        <w:rPr>
          <w:rFonts w:cstheme="minorHAnsi"/>
          <w:b/>
          <w:bCs/>
        </w:rPr>
      </w:pPr>
      <w:r w:rsidRPr="001F4561">
        <w:rPr>
          <w:b/>
          <w:bCs/>
        </w:rPr>
        <w:t>Section 40(2</w:t>
      </w:r>
      <w:r w:rsidRPr="001F4561">
        <w:rPr>
          <w:rFonts w:cstheme="minorHAnsi"/>
          <w:b/>
          <w:bCs/>
        </w:rPr>
        <w:t>) – Personal Information</w:t>
      </w:r>
    </w:p>
    <w:p w14:paraId="4E800969" w14:textId="77777777" w:rsidR="00D9148D" w:rsidRDefault="00D9148D" w:rsidP="00D9148D">
      <w:pPr>
        <w:spacing w:after="0"/>
        <w:rPr>
          <w:rFonts w:cstheme="minorHAnsi"/>
        </w:rPr>
      </w:pPr>
    </w:p>
    <w:p w14:paraId="20F5DA9C" w14:textId="77777777" w:rsidR="00D9148D" w:rsidRDefault="00D9148D" w:rsidP="00D9148D">
      <w:pPr>
        <w:spacing w:after="0"/>
        <w:rPr>
          <w:rFonts w:cstheme="minorHAnsi"/>
        </w:rPr>
      </w:pPr>
      <w:r>
        <w:rPr>
          <w:rFonts w:cstheme="minorHAnsi"/>
        </w:rPr>
        <w:t>Under this exemption, personal data should not be disclosed if this would contravene the data protection principles.</w:t>
      </w:r>
    </w:p>
    <w:p w14:paraId="12D067DE" w14:textId="77777777" w:rsidR="00D9148D" w:rsidRDefault="00D9148D" w:rsidP="00D9148D">
      <w:pPr>
        <w:spacing w:after="0"/>
        <w:rPr>
          <w:rFonts w:cstheme="minorHAnsi"/>
        </w:rPr>
      </w:pPr>
    </w:p>
    <w:p w14:paraId="602D7747" w14:textId="77777777" w:rsidR="00D9148D" w:rsidRDefault="00D9148D" w:rsidP="00D9148D">
      <w:pPr>
        <w:spacing w:after="0"/>
        <w:rPr>
          <w:rFonts w:cstheme="minorHAnsi"/>
        </w:rPr>
      </w:pPr>
      <w:r>
        <w:rPr>
          <w:rFonts w:cstheme="minorHAnsi"/>
        </w:rPr>
        <w:t xml:space="preserve">Personal data is defined by the General Data Protection Regulations (GDPR) as follows - </w:t>
      </w:r>
    </w:p>
    <w:p w14:paraId="4B45D182" w14:textId="77777777" w:rsidR="00D9148D" w:rsidRDefault="00D9148D" w:rsidP="00D9148D">
      <w:pPr>
        <w:spacing w:after="0"/>
        <w:rPr>
          <w:rFonts w:cstheme="minorHAnsi"/>
        </w:rPr>
      </w:pPr>
    </w:p>
    <w:p w14:paraId="50834596" w14:textId="77777777" w:rsidR="00D9148D" w:rsidRDefault="00D9148D" w:rsidP="00D9148D">
      <w:pPr>
        <w:spacing w:after="0"/>
        <w:rPr>
          <w:rFonts w:cstheme="minorHAnsi"/>
          <w:b/>
          <w:bCs/>
          <w:color w:val="000000"/>
          <w:shd w:val="clear" w:color="auto" w:fill="F7F3F0"/>
        </w:rPr>
      </w:pPr>
      <w:r>
        <w:rPr>
          <w:rFonts w:cstheme="minorHAnsi"/>
          <w:b/>
          <w:bCs/>
        </w:rPr>
        <w:t xml:space="preserve"> </w:t>
      </w:r>
      <w:r>
        <w:rPr>
          <w:rFonts w:cstheme="minorHAnsi"/>
          <w:b/>
          <w:bCs/>
          <w:color w:val="000000"/>
          <w:highlight w:val="lightGray"/>
          <w:shd w:val="clear" w:color="auto" w:fill="F7F3F0"/>
        </w:rPr>
        <w:t>“‘personal data’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571171C5" w14:textId="77777777" w:rsidR="00D9148D" w:rsidRDefault="00D9148D" w:rsidP="00D9148D">
      <w:pPr>
        <w:pStyle w:val="NormalWeb"/>
        <w:shd w:val="clear" w:color="auto" w:fill="FFFFFF"/>
        <w:spacing w:before="0" w:beforeAutospacing="0" w:after="0" w:afterAutospacing="0"/>
        <w:rPr>
          <w:rStyle w:val="Strong"/>
          <w:rFonts w:ascii="Arial" w:hAnsi="Arial" w:cs="Arial"/>
          <w:color w:val="111111"/>
          <w:sz w:val="21"/>
          <w:szCs w:val="21"/>
        </w:rPr>
      </w:pPr>
    </w:p>
    <w:p w14:paraId="53466A15" w14:textId="77777777" w:rsidR="00D9148D" w:rsidRDefault="00D9148D" w:rsidP="00D9148D">
      <w:pPr>
        <w:pStyle w:val="NormalWeb"/>
        <w:shd w:val="clear" w:color="auto" w:fill="FFFFFF"/>
        <w:spacing w:before="0" w:beforeAutospacing="0" w:after="0" w:afterAutospacing="0"/>
        <w:rPr>
          <w:rStyle w:val="Strong"/>
          <w:rFonts w:ascii="Arial" w:hAnsi="Arial" w:cs="Arial"/>
          <w:b w:val="0"/>
          <w:bCs w:val="0"/>
          <w:color w:val="111111"/>
          <w:sz w:val="21"/>
          <w:szCs w:val="21"/>
        </w:rPr>
      </w:pPr>
      <w:r>
        <w:rPr>
          <w:rStyle w:val="Strong"/>
          <w:rFonts w:ascii="Arial" w:hAnsi="Arial" w:cs="Arial"/>
          <w:color w:val="111111"/>
          <w:sz w:val="21"/>
          <w:szCs w:val="21"/>
        </w:rPr>
        <w:t>ICO guidance states the following –</w:t>
      </w:r>
    </w:p>
    <w:p w14:paraId="4F608776" w14:textId="77777777" w:rsidR="00D9148D" w:rsidRDefault="00D9148D" w:rsidP="00D9148D">
      <w:pPr>
        <w:pStyle w:val="NormalWeb"/>
        <w:shd w:val="clear" w:color="auto" w:fill="FFFFFF"/>
        <w:spacing w:before="0" w:beforeAutospacing="0" w:after="0" w:afterAutospacing="0"/>
        <w:rPr>
          <w:rStyle w:val="Strong"/>
          <w:b w:val="0"/>
          <w:bCs w:val="0"/>
          <w:color w:val="111111"/>
        </w:rPr>
      </w:pPr>
    </w:p>
    <w:p w14:paraId="45399FEB" w14:textId="77777777" w:rsidR="00D9148D" w:rsidRDefault="00D9148D" w:rsidP="00D9148D">
      <w:pPr>
        <w:pStyle w:val="NormalWeb"/>
        <w:shd w:val="clear" w:color="auto" w:fill="FFFFFF"/>
        <w:spacing w:before="0" w:beforeAutospacing="0" w:after="0" w:afterAutospacing="0"/>
        <w:rPr>
          <w:b/>
          <w:bCs/>
          <w:highlight w:val="lightGray"/>
        </w:rPr>
      </w:pPr>
      <w:r>
        <w:rPr>
          <w:b/>
          <w:bCs/>
          <w:highlight w:val="lightGray"/>
        </w:rPr>
        <w:t>When a public authority receives a request for information that constitutes personal data about its employees, it must decide whether disclosure would breach Principle 1 of the Data Protection Act (the DPA), ie whether it would be fair and lawful to disclose the information. Whether the disclosure is fair will depend on a number of factors including:</w:t>
      </w:r>
    </w:p>
    <w:p w14:paraId="4EB8E358" w14:textId="77777777" w:rsidR="00D9148D" w:rsidRDefault="00D9148D" w:rsidP="00D9148D">
      <w:pPr>
        <w:pStyle w:val="NormalWeb"/>
        <w:shd w:val="clear" w:color="auto" w:fill="FFFFFF"/>
        <w:spacing w:before="0" w:beforeAutospacing="0" w:after="0" w:afterAutospacing="0"/>
        <w:rPr>
          <w:b/>
          <w:bCs/>
          <w:highlight w:val="lightGray"/>
        </w:rPr>
      </w:pPr>
      <w:r>
        <w:rPr>
          <w:b/>
          <w:bCs/>
          <w:highlight w:val="lightGray"/>
        </w:rPr>
        <w:t xml:space="preserve"> </w:t>
      </w:r>
      <w:r>
        <w:rPr>
          <w:b/>
          <w:bCs/>
          <w:highlight w:val="lightGray"/>
        </w:rPr>
        <w:sym w:font="Symbol" w:char="F0B7"/>
      </w:r>
      <w:r>
        <w:rPr>
          <w:b/>
          <w:bCs/>
          <w:highlight w:val="lightGray"/>
        </w:rPr>
        <w:t xml:space="preserve"> whether it is sensitive personal data;</w:t>
      </w:r>
    </w:p>
    <w:p w14:paraId="25F6932B" w14:textId="77777777" w:rsidR="00D9148D" w:rsidRDefault="00D9148D" w:rsidP="00D9148D">
      <w:pPr>
        <w:pStyle w:val="NormalWeb"/>
        <w:shd w:val="clear" w:color="auto" w:fill="FFFFFF"/>
        <w:spacing w:before="0" w:beforeAutospacing="0" w:after="0" w:afterAutospacing="0"/>
        <w:rPr>
          <w:b/>
          <w:bCs/>
          <w:highlight w:val="lightGray"/>
        </w:rPr>
      </w:pPr>
      <w:r>
        <w:rPr>
          <w:b/>
          <w:bCs/>
          <w:highlight w:val="lightGray"/>
        </w:rPr>
        <w:t xml:space="preserve"> </w:t>
      </w:r>
      <w:r>
        <w:rPr>
          <w:b/>
          <w:bCs/>
          <w:highlight w:val="lightGray"/>
        </w:rPr>
        <w:sym w:font="Symbol" w:char="F0B7"/>
      </w:r>
      <w:r>
        <w:rPr>
          <w:b/>
          <w:bCs/>
          <w:highlight w:val="lightGray"/>
        </w:rPr>
        <w:t xml:space="preserve"> the consequences of disclosure;</w:t>
      </w:r>
    </w:p>
    <w:p w14:paraId="7F78972F" w14:textId="77777777" w:rsidR="00D9148D" w:rsidRDefault="00D9148D" w:rsidP="00D9148D">
      <w:pPr>
        <w:pStyle w:val="NormalWeb"/>
        <w:shd w:val="clear" w:color="auto" w:fill="FFFFFF"/>
        <w:spacing w:before="0" w:beforeAutospacing="0" w:after="0" w:afterAutospacing="0"/>
        <w:rPr>
          <w:b/>
          <w:bCs/>
          <w:highlight w:val="lightGray"/>
        </w:rPr>
      </w:pPr>
      <w:r>
        <w:rPr>
          <w:b/>
          <w:bCs/>
          <w:highlight w:val="lightGray"/>
        </w:rPr>
        <w:t xml:space="preserve"> </w:t>
      </w:r>
      <w:r>
        <w:rPr>
          <w:b/>
          <w:bCs/>
          <w:highlight w:val="lightGray"/>
        </w:rPr>
        <w:sym w:font="Symbol" w:char="F0B7"/>
      </w:r>
      <w:r>
        <w:rPr>
          <w:b/>
          <w:bCs/>
          <w:highlight w:val="lightGray"/>
        </w:rPr>
        <w:t xml:space="preserve"> the reasonable expectations of the employees; and </w:t>
      </w:r>
    </w:p>
    <w:p w14:paraId="504CD99D" w14:textId="77777777" w:rsidR="00D9148D" w:rsidRDefault="00D9148D" w:rsidP="00D9148D">
      <w:pPr>
        <w:pStyle w:val="NormalWeb"/>
        <w:shd w:val="clear" w:color="auto" w:fill="FFFFFF"/>
        <w:spacing w:before="0" w:beforeAutospacing="0" w:after="0" w:afterAutospacing="0"/>
        <w:rPr>
          <w:b/>
          <w:bCs/>
        </w:rPr>
      </w:pPr>
      <w:r>
        <w:rPr>
          <w:b/>
          <w:bCs/>
          <w:highlight w:val="lightGray"/>
        </w:rPr>
        <w:sym w:font="Symbol" w:char="F0B7"/>
      </w:r>
      <w:r>
        <w:rPr>
          <w:b/>
          <w:bCs/>
          <w:highlight w:val="lightGray"/>
        </w:rPr>
        <w:t xml:space="preserve"> whether there is a legitimate interest in the public or requester having access to the information and the balance between this and the rights and freedoms of the data subjects.</w:t>
      </w:r>
    </w:p>
    <w:p w14:paraId="2F453979" w14:textId="77777777" w:rsidR="00D9148D" w:rsidRDefault="00D9148D" w:rsidP="00D9148D">
      <w:pPr>
        <w:pStyle w:val="NormalWeb"/>
        <w:shd w:val="clear" w:color="auto" w:fill="FFFFFF"/>
        <w:spacing w:before="0" w:beforeAutospacing="0" w:after="0" w:afterAutospacing="0"/>
        <w:rPr>
          <w:rFonts w:asciiTheme="minorHAnsi" w:hAnsiTheme="minorHAnsi" w:cstheme="minorHAnsi"/>
          <w:i/>
          <w:iCs/>
        </w:rPr>
      </w:pPr>
    </w:p>
    <w:p w14:paraId="0DBA9DD8" w14:textId="4B4BA337" w:rsidR="00D9148D" w:rsidRPr="00922818" w:rsidRDefault="00D9148D" w:rsidP="00D9148D">
      <w:pPr>
        <w:pStyle w:val="NormalWeb"/>
        <w:shd w:val="clear" w:color="auto" w:fill="FFFFFF"/>
        <w:spacing w:before="0" w:beforeAutospacing="0" w:after="0" w:afterAutospacing="0"/>
        <w:rPr>
          <w:rStyle w:val="Strong"/>
          <w:b w:val="0"/>
          <w:bCs w:val="0"/>
          <w:color w:val="111111"/>
        </w:rPr>
      </w:pPr>
      <w:r w:rsidRPr="00922818">
        <w:rPr>
          <w:rStyle w:val="Strong"/>
          <w:b w:val="0"/>
          <w:bCs w:val="0"/>
          <w:color w:val="111111"/>
        </w:rPr>
        <w:t xml:space="preserve">In this case, we have identified that </w:t>
      </w:r>
      <w:r>
        <w:rPr>
          <w:rStyle w:val="Strong"/>
          <w:b w:val="0"/>
          <w:bCs w:val="0"/>
          <w:color w:val="111111"/>
        </w:rPr>
        <w:t>names and signatures</w:t>
      </w:r>
      <w:r w:rsidRPr="00922818">
        <w:rPr>
          <w:rStyle w:val="Strong"/>
          <w:b w:val="0"/>
          <w:bCs w:val="0"/>
          <w:color w:val="111111"/>
        </w:rPr>
        <w:t xml:space="preserve"> </w:t>
      </w:r>
      <w:r>
        <w:rPr>
          <w:rStyle w:val="Strong"/>
          <w:b w:val="0"/>
          <w:bCs w:val="0"/>
          <w:color w:val="111111"/>
        </w:rPr>
        <w:t>are</w:t>
      </w:r>
      <w:r w:rsidRPr="00922818">
        <w:rPr>
          <w:rStyle w:val="Strong"/>
          <w:b w:val="0"/>
          <w:bCs w:val="0"/>
          <w:color w:val="111111"/>
        </w:rPr>
        <w:t xml:space="preserve"> personal data AND the release of th</w:t>
      </w:r>
      <w:r>
        <w:rPr>
          <w:rStyle w:val="Strong"/>
          <w:b w:val="0"/>
          <w:bCs w:val="0"/>
          <w:color w:val="111111"/>
        </w:rPr>
        <w:t>is information</w:t>
      </w:r>
      <w:r w:rsidRPr="00922818">
        <w:rPr>
          <w:rStyle w:val="Strong"/>
          <w:b w:val="0"/>
          <w:bCs w:val="0"/>
          <w:color w:val="111111"/>
        </w:rPr>
        <w:t xml:space="preserve"> WOULD contravene the first principle of the DPA.</w:t>
      </w:r>
    </w:p>
    <w:p w14:paraId="4B461480" w14:textId="77777777" w:rsidR="00D9148D" w:rsidRDefault="00D9148D" w:rsidP="00D9148D">
      <w:pPr>
        <w:pStyle w:val="NormalWeb"/>
        <w:shd w:val="clear" w:color="auto" w:fill="FFFFFF"/>
        <w:spacing w:before="0" w:beforeAutospacing="0" w:after="0" w:afterAutospacing="0"/>
        <w:rPr>
          <w:rStyle w:val="Strong"/>
          <w:b w:val="0"/>
          <w:bCs w:val="0"/>
          <w:color w:val="111111"/>
        </w:rPr>
      </w:pPr>
    </w:p>
    <w:p w14:paraId="5A8D52B5" w14:textId="77777777" w:rsidR="00D9148D" w:rsidRDefault="00D9148D" w:rsidP="00D9148D">
      <w:pPr>
        <w:pStyle w:val="NormalWeb"/>
        <w:shd w:val="clear" w:color="auto" w:fill="FFFFFF"/>
        <w:spacing w:before="0" w:beforeAutospacing="0" w:after="0" w:afterAutospacing="0"/>
      </w:pPr>
      <w:r>
        <w:t xml:space="preserve">It is important to remember that disclosure of personal information under the FOI is to “the world at large”. </w:t>
      </w:r>
    </w:p>
    <w:p w14:paraId="7AAACC48" w14:textId="77777777" w:rsidR="00D9148D" w:rsidRDefault="00D9148D" w:rsidP="00D9148D">
      <w:pPr>
        <w:pStyle w:val="NormalWeb"/>
        <w:shd w:val="clear" w:color="auto" w:fill="FFFFFF"/>
        <w:spacing w:before="0" w:beforeAutospacing="0" w:after="0" w:afterAutospacing="0"/>
      </w:pPr>
      <w:r>
        <w:t>The key question when it comes to disclosing personal information, is what is the harm that will arise from disclosure.</w:t>
      </w:r>
    </w:p>
    <w:p w14:paraId="056BE0E5" w14:textId="77777777" w:rsidR="00D9148D" w:rsidRDefault="00D9148D" w:rsidP="00D9148D">
      <w:pPr>
        <w:pStyle w:val="NormalWeb"/>
        <w:shd w:val="clear" w:color="auto" w:fill="FFFFFF"/>
        <w:spacing w:before="0" w:beforeAutospacing="0" w:after="0" w:afterAutospacing="0"/>
        <w:rPr>
          <w:rFonts w:ascii="Arial" w:hAnsi="Arial" w:cs="Arial"/>
          <w:color w:val="555555"/>
          <w:sz w:val="21"/>
          <w:szCs w:val="21"/>
        </w:rPr>
      </w:pPr>
    </w:p>
    <w:p w14:paraId="169F52B0" w14:textId="184E69F4" w:rsidR="00D9148D" w:rsidRPr="008C3A62" w:rsidRDefault="00D9148D" w:rsidP="00D9148D">
      <w:pPr>
        <w:spacing w:after="0"/>
        <w:rPr>
          <w:rFonts w:cstheme="minorHAnsi"/>
        </w:rPr>
      </w:pPr>
      <w:r>
        <w:rPr>
          <w:rFonts w:cstheme="minorHAnsi"/>
        </w:rPr>
        <w:t>The individuals in question would not have any expectation that this information would be released into the public domain.</w:t>
      </w:r>
    </w:p>
    <w:p w14:paraId="532437E6" w14:textId="62AE5898" w:rsidR="00C83296" w:rsidRPr="00D9148D" w:rsidRDefault="00D9148D" w:rsidP="00D9148D">
      <w:pPr>
        <w:spacing w:before="120" w:after="120" w:line="240" w:lineRule="auto"/>
        <w:rPr>
          <w:rFonts w:cstheme="minorHAnsi"/>
          <w:b/>
          <w:bCs/>
        </w:rPr>
      </w:pPr>
      <w:r w:rsidRPr="00D9148D">
        <w:rPr>
          <w:rFonts w:cstheme="minorHAnsi"/>
          <w:b/>
          <w:bCs/>
        </w:rPr>
        <w:t>Please see the below notes to further assist you when looking through the provided documents -</w:t>
      </w:r>
    </w:p>
    <w:p w14:paraId="21E19CDD" w14:textId="77777777" w:rsidR="00D9148D" w:rsidRPr="00FB26AF" w:rsidRDefault="00D9148D" w:rsidP="00D9148D">
      <w:pPr>
        <w:rPr>
          <w:rFonts w:ascii="Arial" w:hAnsi="Arial" w:cs="Arial"/>
          <w:color w:val="333333"/>
          <w:shd w:val="clear" w:color="auto" w:fill="FFFFFF"/>
        </w:rPr>
      </w:pPr>
      <w:r w:rsidRPr="00FB26AF">
        <w:rPr>
          <w:rFonts w:ascii="Arial" w:hAnsi="Arial" w:cs="Arial"/>
          <w:color w:val="333333"/>
          <w:shd w:val="clear" w:color="auto" w:fill="FFFFFF"/>
        </w:rPr>
        <w:t>• Training Materials and Syllabuses:</w:t>
      </w:r>
    </w:p>
    <w:p w14:paraId="674BA180" w14:textId="77777777" w:rsidR="00D9148D" w:rsidRPr="00FB26AF" w:rsidRDefault="00D9148D" w:rsidP="00D9148D">
      <w:pPr>
        <w:rPr>
          <w:rFonts w:ascii="Arial" w:hAnsi="Arial" w:cs="Arial"/>
          <w:color w:val="333333"/>
          <w:shd w:val="clear" w:color="auto" w:fill="FFFFFF"/>
        </w:rPr>
      </w:pPr>
      <w:r w:rsidRPr="00FB26AF">
        <w:rPr>
          <w:rFonts w:ascii="Arial" w:hAnsi="Arial" w:cs="Arial"/>
          <w:color w:val="333333"/>
          <w:shd w:val="clear" w:color="auto" w:fill="FFFFFF"/>
        </w:rPr>
        <w:t>A copy of the training materials or curriculum used to train drivers on the Train Control and Management System (TCMS) in Class 756 units.</w:t>
      </w:r>
    </w:p>
    <w:p w14:paraId="5B7F95D2" w14:textId="77777777" w:rsidR="00D9148D" w:rsidRPr="00FB26AF" w:rsidRDefault="00D9148D" w:rsidP="00D9148D">
      <w:pPr>
        <w:rPr>
          <w:rFonts w:ascii="Arial" w:hAnsi="Arial" w:cs="Arial"/>
          <w:color w:val="333333"/>
          <w:shd w:val="clear" w:color="auto" w:fill="FFFFFF"/>
        </w:rPr>
      </w:pPr>
      <w:r w:rsidRPr="00FB26AF">
        <w:rPr>
          <w:rFonts w:ascii="Arial" w:hAnsi="Arial" w:cs="Arial"/>
          <w:color w:val="333333"/>
          <w:shd w:val="clear" w:color="auto" w:fill="FFFFFF"/>
        </w:rPr>
        <w:t>Class 756 conversion course Facilitator guide contains the curriculum and includes an explanation of the 756 TCMS operation. (Included)</w:t>
      </w:r>
    </w:p>
    <w:p w14:paraId="48A38FD3" w14:textId="77777777" w:rsidR="00D9148D" w:rsidRPr="00FB26AF" w:rsidRDefault="00D9148D" w:rsidP="00D9148D">
      <w:pPr>
        <w:rPr>
          <w:rFonts w:ascii="Arial" w:hAnsi="Arial" w:cs="Arial"/>
          <w:color w:val="333333"/>
          <w:shd w:val="clear" w:color="auto" w:fill="FFFFFF"/>
        </w:rPr>
      </w:pPr>
      <w:r w:rsidRPr="00FB26AF">
        <w:rPr>
          <w:rFonts w:ascii="Arial" w:hAnsi="Arial" w:cs="Arial"/>
          <w:color w:val="333333"/>
          <w:shd w:val="clear" w:color="auto" w:fill="FFFFFF"/>
        </w:rPr>
        <w:t>• Day-to-Day TCMS Usage:</w:t>
      </w:r>
    </w:p>
    <w:p w14:paraId="45D17921" w14:textId="77777777" w:rsidR="00D9148D" w:rsidRPr="00FB26AF" w:rsidRDefault="00D9148D" w:rsidP="00D9148D">
      <w:pPr>
        <w:rPr>
          <w:rFonts w:ascii="Arial" w:hAnsi="Arial" w:cs="Arial"/>
          <w:color w:val="333333"/>
          <w:shd w:val="clear" w:color="auto" w:fill="FFFFFF"/>
        </w:rPr>
      </w:pPr>
      <w:r w:rsidRPr="00FB26AF">
        <w:rPr>
          <w:rFonts w:ascii="Arial" w:hAnsi="Arial" w:cs="Arial"/>
          <w:color w:val="333333"/>
          <w:shd w:val="clear" w:color="auto" w:fill="FFFFFF"/>
        </w:rPr>
        <w:lastRenderedPageBreak/>
        <w:t>Information on how drivers are trained to use the TCMS in daily operations. This should include tasks such as:</w:t>
      </w:r>
    </w:p>
    <w:p w14:paraId="1020BAE9" w14:textId="77777777" w:rsidR="00D9148D" w:rsidRPr="00FB26AF" w:rsidRDefault="00D9148D" w:rsidP="00D9148D">
      <w:pPr>
        <w:rPr>
          <w:rFonts w:ascii="Arial" w:hAnsi="Arial" w:cs="Arial"/>
          <w:color w:val="333333"/>
          <w:shd w:val="clear" w:color="auto" w:fill="FFFFFF"/>
        </w:rPr>
      </w:pPr>
      <w:r w:rsidRPr="00FB26AF">
        <w:rPr>
          <w:rFonts w:ascii="Arial" w:hAnsi="Arial" w:cs="Arial"/>
          <w:color w:val="333333"/>
          <w:shd w:val="clear" w:color="auto" w:fill="FFFFFF"/>
        </w:rPr>
        <w:t>- Powering up and initialising the TCMS.</w:t>
      </w:r>
    </w:p>
    <w:p w14:paraId="52AF40E7" w14:textId="77777777" w:rsidR="00D9148D" w:rsidRPr="00FB26AF" w:rsidRDefault="00D9148D" w:rsidP="00D9148D">
      <w:pPr>
        <w:rPr>
          <w:rFonts w:ascii="Arial" w:hAnsi="Arial" w:cs="Arial"/>
          <w:color w:val="333333"/>
          <w:shd w:val="clear" w:color="auto" w:fill="FFFFFF"/>
        </w:rPr>
      </w:pPr>
      <w:r w:rsidRPr="00FB26AF">
        <w:rPr>
          <w:rFonts w:ascii="Arial" w:hAnsi="Arial" w:cs="Arial"/>
          <w:color w:val="333333"/>
          <w:shd w:val="clear" w:color="auto" w:fill="FFFFFF"/>
        </w:rPr>
        <w:t xml:space="preserve">Not included in 756 training, drivers already hold this competency. </w:t>
      </w:r>
    </w:p>
    <w:p w14:paraId="2859C9F7" w14:textId="77777777" w:rsidR="00D9148D" w:rsidRPr="00FB26AF" w:rsidRDefault="00D9148D" w:rsidP="00D9148D">
      <w:pPr>
        <w:rPr>
          <w:rFonts w:ascii="Arial" w:hAnsi="Arial" w:cs="Arial"/>
          <w:color w:val="333333"/>
          <w:shd w:val="clear" w:color="auto" w:fill="FFFFFF"/>
        </w:rPr>
      </w:pPr>
      <w:r w:rsidRPr="00FB26AF">
        <w:rPr>
          <w:rFonts w:ascii="Arial" w:hAnsi="Arial" w:cs="Arial"/>
          <w:color w:val="333333"/>
          <w:shd w:val="clear" w:color="auto" w:fill="FFFFFF"/>
        </w:rPr>
        <w:t>- Interaction with any touchscreens or HMI components.</w:t>
      </w:r>
    </w:p>
    <w:p w14:paraId="17A5DFBA" w14:textId="77777777" w:rsidR="00D9148D" w:rsidRPr="00FB26AF" w:rsidRDefault="00D9148D" w:rsidP="00D9148D">
      <w:pPr>
        <w:rPr>
          <w:rFonts w:ascii="Arial" w:hAnsi="Arial" w:cs="Arial"/>
          <w:color w:val="333333"/>
          <w:shd w:val="clear" w:color="auto" w:fill="FFFFFF"/>
        </w:rPr>
      </w:pPr>
      <w:r w:rsidRPr="00FB26AF">
        <w:rPr>
          <w:rFonts w:ascii="Arial" w:hAnsi="Arial" w:cs="Arial"/>
          <w:color w:val="333333"/>
          <w:shd w:val="clear" w:color="auto" w:fill="FFFFFF"/>
        </w:rPr>
        <w:t xml:space="preserve">Traction user guide pages </w:t>
      </w:r>
      <w:r>
        <w:rPr>
          <w:rFonts w:ascii="Arial" w:hAnsi="Arial" w:cs="Arial"/>
          <w:color w:val="333333"/>
          <w:shd w:val="clear" w:color="auto" w:fill="FFFFFF"/>
        </w:rPr>
        <w:t>54-61</w:t>
      </w:r>
    </w:p>
    <w:p w14:paraId="518491A0" w14:textId="77777777" w:rsidR="00D9148D" w:rsidRPr="00FB26AF" w:rsidRDefault="00D9148D" w:rsidP="00D9148D">
      <w:pPr>
        <w:rPr>
          <w:rFonts w:ascii="Arial" w:hAnsi="Arial" w:cs="Arial"/>
          <w:color w:val="333333"/>
          <w:shd w:val="clear" w:color="auto" w:fill="FFFFFF"/>
        </w:rPr>
      </w:pPr>
      <w:r w:rsidRPr="00FB26AF">
        <w:rPr>
          <w:rFonts w:ascii="Arial" w:hAnsi="Arial" w:cs="Arial"/>
          <w:color w:val="333333"/>
          <w:shd w:val="clear" w:color="auto" w:fill="FFFFFF"/>
        </w:rPr>
        <w:t>- How the system supports train preparation and in-service functionality.</w:t>
      </w:r>
    </w:p>
    <w:p w14:paraId="65D383A9" w14:textId="77777777" w:rsidR="00D9148D" w:rsidRPr="00FB26AF" w:rsidRDefault="00D9148D" w:rsidP="00D9148D">
      <w:pPr>
        <w:rPr>
          <w:rFonts w:ascii="Arial" w:hAnsi="Arial" w:cs="Arial"/>
          <w:color w:val="333333"/>
          <w:shd w:val="clear" w:color="auto" w:fill="FFFFFF"/>
        </w:rPr>
      </w:pPr>
      <w:r w:rsidRPr="00FB26AF">
        <w:rPr>
          <w:rFonts w:ascii="Arial" w:hAnsi="Arial" w:cs="Arial"/>
          <w:color w:val="333333"/>
          <w:shd w:val="clear" w:color="auto" w:fill="FFFFFF"/>
        </w:rPr>
        <w:t xml:space="preserve">Traction user guide pages </w:t>
      </w:r>
      <w:r>
        <w:rPr>
          <w:rFonts w:ascii="Arial" w:hAnsi="Arial" w:cs="Arial"/>
          <w:color w:val="333333"/>
          <w:shd w:val="clear" w:color="auto" w:fill="FFFFFF"/>
        </w:rPr>
        <w:t>54-61</w:t>
      </w:r>
    </w:p>
    <w:p w14:paraId="7E6ED0BE" w14:textId="77777777" w:rsidR="00D9148D" w:rsidRPr="00FB26AF" w:rsidRDefault="00D9148D" w:rsidP="00D9148D">
      <w:pPr>
        <w:rPr>
          <w:rFonts w:ascii="Arial" w:hAnsi="Arial" w:cs="Arial"/>
          <w:color w:val="333333"/>
          <w:shd w:val="clear" w:color="auto" w:fill="FFFFFF"/>
        </w:rPr>
      </w:pPr>
      <w:r w:rsidRPr="00FB26AF">
        <w:rPr>
          <w:rFonts w:ascii="Arial" w:hAnsi="Arial" w:cs="Arial"/>
          <w:color w:val="333333"/>
          <w:shd w:val="clear" w:color="auto" w:fill="FFFFFF"/>
        </w:rPr>
        <w:t>• On-Board Announcements:</w:t>
      </w:r>
    </w:p>
    <w:p w14:paraId="7C4B0DDE" w14:textId="77777777" w:rsidR="00D9148D" w:rsidRPr="00FB26AF" w:rsidRDefault="00D9148D" w:rsidP="00D9148D">
      <w:pPr>
        <w:rPr>
          <w:rFonts w:ascii="Arial" w:hAnsi="Arial" w:cs="Arial"/>
          <w:color w:val="333333"/>
          <w:shd w:val="clear" w:color="auto" w:fill="FFFFFF"/>
        </w:rPr>
      </w:pPr>
      <w:r w:rsidRPr="00FB26AF">
        <w:rPr>
          <w:rFonts w:ascii="Arial" w:hAnsi="Arial" w:cs="Arial"/>
          <w:color w:val="333333"/>
          <w:shd w:val="clear" w:color="auto" w:fill="FFFFFF"/>
        </w:rPr>
        <w:t>Specific details on how the TCMS is used by drivers to:</w:t>
      </w:r>
    </w:p>
    <w:p w14:paraId="665FFFCC" w14:textId="77777777" w:rsidR="00D9148D" w:rsidRPr="00FB26AF" w:rsidRDefault="00D9148D" w:rsidP="00D9148D">
      <w:pPr>
        <w:rPr>
          <w:rFonts w:ascii="Arial" w:hAnsi="Arial" w:cs="Arial"/>
          <w:color w:val="333333"/>
          <w:shd w:val="clear" w:color="auto" w:fill="FFFFFF"/>
        </w:rPr>
      </w:pPr>
      <w:r w:rsidRPr="00FB26AF">
        <w:rPr>
          <w:rFonts w:ascii="Arial" w:hAnsi="Arial" w:cs="Arial"/>
          <w:color w:val="333333"/>
          <w:shd w:val="clear" w:color="auto" w:fill="FFFFFF"/>
        </w:rPr>
        <w:t>- Set up or trigger automated or manual on-board announcements.</w:t>
      </w:r>
    </w:p>
    <w:p w14:paraId="0BE52295" w14:textId="77777777" w:rsidR="00D9148D" w:rsidRPr="00FB26AF" w:rsidRDefault="00D9148D" w:rsidP="00D9148D">
      <w:pPr>
        <w:rPr>
          <w:rFonts w:ascii="Arial" w:hAnsi="Arial" w:cs="Arial"/>
          <w:color w:val="333333"/>
          <w:shd w:val="clear" w:color="auto" w:fill="FFFFFF"/>
        </w:rPr>
      </w:pPr>
      <w:r w:rsidRPr="00FB26AF">
        <w:rPr>
          <w:rFonts w:ascii="Arial" w:hAnsi="Arial" w:cs="Arial"/>
          <w:color w:val="333333"/>
          <w:shd w:val="clear" w:color="auto" w:fill="FFFFFF"/>
        </w:rPr>
        <w:t xml:space="preserve">Traction user guide pages </w:t>
      </w:r>
      <w:r>
        <w:rPr>
          <w:rFonts w:ascii="Arial" w:hAnsi="Arial" w:cs="Arial"/>
          <w:color w:val="333333"/>
          <w:shd w:val="clear" w:color="auto" w:fill="FFFFFF"/>
        </w:rPr>
        <w:t>54-61</w:t>
      </w:r>
    </w:p>
    <w:p w14:paraId="706C7010" w14:textId="77777777" w:rsidR="00D9148D" w:rsidRPr="00FB26AF" w:rsidRDefault="00D9148D" w:rsidP="00D9148D">
      <w:pPr>
        <w:rPr>
          <w:rFonts w:ascii="Arial" w:hAnsi="Arial" w:cs="Arial"/>
          <w:color w:val="333333"/>
          <w:shd w:val="clear" w:color="auto" w:fill="FFFFFF"/>
        </w:rPr>
      </w:pPr>
      <w:r w:rsidRPr="00FB26AF">
        <w:rPr>
          <w:rFonts w:ascii="Arial" w:hAnsi="Arial" w:cs="Arial"/>
          <w:color w:val="333333"/>
          <w:shd w:val="clear" w:color="auto" w:fill="FFFFFF"/>
        </w:rPr>
        <w:t>- Select destination information or passenger information displays (PIS).</w:t>
      </w:r>
    </w:p>
    <w:p w14:paraId="0B141006" w14:textId="77777777" w:rsidR="00D9148D" w:rsidRPr="00FB26AF" w:rsidRDefault="00D9148D" w:rsidP="00D9148D">
      <w:pPr>
        <w:rPr>
          <w:rFonts w:ascii="Arial" w:hAnsi="Arial" w:cs="Arial"/>
          <w:color w:val="333333"/>
          <w:shd w:val="clear" w:color="auto" w:fill="FFFFFF"/>
        </w:rPr>
      </w:pPr>
      <w:r w:rsidRPr="00FB26AF">
        <w:rPr>
          <w:rFonts w:ascii="Arial" w:hAnsi="Arial" w:cs="Arial"/>
          <w:color w:val="333333"/>
          <w:shd w:val="clear" w:color="auto" w:fill="FFFFFF"/>
        </w:rPr>
        <w:t xml:space="preserve">Traction user guide pages </w:t>
      </w:r>
      <w:r>
        <w:rPr>
          <w:rFonts w:ascii="Arial" w:hAnsi="Arial" w:cs="Arial"/>
          <w:color w:val="333333"/>
          <w:shd w:val="clear" w:color="auto" w:fill="FFFFFF"/>
        </w:rPr>
        <w:t>54-61</w:t>
      </w:r>
    </w:p>
    <w:p w14:paraId="1BB7738C" w14:textId="77777777" w:rsidR="00D9148D" w:rsidRPr="00FB26AF" w:rsidRDefault="00D9148D" w:rsidP="00D9148D">
      <w:pPr>
        <w:rPr>
          <w:rFonts w:ascii="Arial" w:hAnsi="Arial" w:cs="Arial"/>
          <w:color w:val="333333"/>
          <w:shd w:val="clear" w:color="auto" w:fill="FFFFFF"/>
        </w:rPr>
      </w:pPr>
      <w:r w:rsidRPr="00FB26AF">
        <w:rPr>
          <w:rFonts w:ascii="Arial" w:hAnsi="Arial" w:cs="Arial"/>
          <w:color w:val="333333"/>
          <w:shd w:val="clear" w:color="auto" w:fill="FFFFFF"/>
        </w:rPr>
        <w:t>- Any presets or manual input required by the driver during or before service.</w:t>
      </w:r>
    </w:p>
    <w:p w14:paraId="67D892A1" w14:textId="77777777" w:rsidR="00D9148D" w:rsidRPr="00FB26AF" w:rsidRDefault="00D9148D" w:rsidP="00D9148D">
      <w:pPr>
        <w:rPr>
          <w:rFonts w:ascii="Arial" w:hAnsi="Arial" w:cs="Arial"/>
          <w:color w:val="333333"/>
          <w:shd w:val="clear" w:color="auto" w:fill="FFFFFF"/>
        </w:rPr>
      </w:pPr>
      <w:r w:rsidRPr="00FB26AF">
        <w:rPr>
          <w:rFonts w:ascii="Arial" w:hAnsi="Arial" w:cs="Arial"/>
          <w:color w:val="333333"/>
          <w:shd w:val="clear" w:color="auto" w:fill="FFFFFF"/>
        </w:rPr>
        <w:t xml:space="preserve">Traction user guide pages </w:t>
      </w:r>
      <w:r>
        <w:rPr>
          <w:rFonts w:ascii="Arial" w:hAnsi="Arial" w:cs="Arial"/>
          <w:color w:val="333333"/>
          <w:shd w:val="clear" w:color="auto" w:fill="FFFFFF"/>
        </w:rPr>
        <w:t>54-61</w:t>
      </w:r>
    </w:p>
    <w:p w14:paraId="7A7E2358" w14:textId="77777777" w:rsidR="00D9148D" w:rsidRPr="00FB26AF" w:rsidRDefault="00D9148D" w:rsidP="00D9148D">
      <w:pPr>
        <w:rPr>
          <w:rFonts w:ascii="Arial" w:hAnsi="Arial" w:cs="Arial"/>
          <w:color w:val="333333"/>
          <w:shd w:val="clear" w:color="auto" w:fill="FFFFFF"/>
        </w:rPr>
      </w:pPr>
      <w:r w:rsidRPr="00FB26AF">
        <w:rPr>
          <w:rFonts w:ascii="Arial" w:hAnsi="Arial" w:cs="Arial"/>
          <w:color w:val="333333"/>
          <w:shd w:val="clear" w:color="auto" w:fill="FFFFFF"/>
        </w:rPr>
        <w:t>• Assessment or Competency Checks:</w:t>
      </w:r>
    </w:p>
    <w:p w14:paraId="541EE6A5" w14:textId="77777777" w:rsidR="00D9148D" w:rsidRPr="00FB26AF" w:rsidRDefault="00D9148D" w:rsidP="00D9148D">
      <w:pPr>
        <w:rPr>
          <w:rFonts w:ascii="Arial" w:hAnsi="Arial" w:cs="Arial"/>
          <w:color w:val="333333"/>
          <w:shd w:val="clear" w:color="auto" w:fill="FFFFFF"/>
        </w:rPr>
      </w:pPr>
      <w:r w:rsidRPr="00FB26AF">
        <w:rPr>
          <w:rFonts w:ascii="Arial" w:hAnsi="Arial" w:cs="Arial"/>
          <w:color w:val="333333"/>
          <w:shd w:val="clear" w:color="auto" w:fill="FFFFFF"/>
        </w:rPr>
        <w:t xml:space="preserve">Information on how drivers are assessed for competency in operating the TCMS on Class 756 units. This should include: </w:t>
      </w:r>
    </w:p>
    <w:p w14:paraId="40833590" w14:textId="77777777" w:rsidR="00D9148D" w:rsidRPr="00FB26AF" w:rsidRDefault="00D9148D" w:rsidP="00D9148D">
      <w:pPr>
        <w:rPr>
          <w:rFonts w:ascii="Arial" w:hAnsi="Arial" w:cs="Arial"/>
          <w:color w:val="333333"/>
          <w:shd w:val="clear" w:color="auto" w:fill="FFFFFF"/>
        </w:rPr>
      </w:pPr>
      <w:r w:rsidRPr="00FB26AF">
        <w:rPr>
          <w:rFonts w:ascii="Arial" w:hAnsi="Arial" w:cs="Arial"/>
          <w:color w:val="333333"/>
          <w:shd w:val="clear" w:color="auto" w:fill="FFFFFF"/>
        </w:rPr>
        <w:t>- Any formal assessments, checklists, or practical evaluations.</w:t>
      </w:r>
    </w:p>
    <w:p w14:paraId="04AAA531" w14:textId="77777777" w:rsidR="00D9148D" w:rsidRPr="00FB26AF" w:rsidRDefault="00D9148D" w:rsidP="00D9148D">
      <w:pPr>
        <w:rPr>
          <w:rFonts w:ascii="Arial" w:hAnsi="Arial" w:cs="Arial"/>
          <w:color w:val="333333"/>
          <w:shd w:val="clear" w:color="auto" w:fill="FFFFFF"/>
        </w:rPr>
      </w:pPr>
      <w:r w:rsidRPr="00FB26AF">
        <w:rPr>
          <w:rFonts w:ascii="Arial" w:hAnsi="Arial" w:cs="Arial"/>
          <w:color w:val="333333"/>
          <w:shd w:val="clear" w:color="auto" w:fill="FFFFFF"/>
        </w:rPr>
        <w:t>Driver 756 Question Paper (included)</w:t>
      </w:r>
    </w:p>
    <w:p w14:paraId="218FEE0B" w14:textId="77777777" w:rsidR="00D9148D" w:rsidRDefault="00D9148D" w:rsidP="00D9148D">
      <w:pPr>
        <w:rPr>
          <w:rFonts w:ascii="Arial" w:hAnsi="Arial" w:cs="Arial"/>
          <w:color w:val="333333"/>
          <w:shd w:val="clear" w:color="auto" w:fill="FFFFFF"/>
        </w:rPr>
      </w:pPr>
      <w:r w:rsidRPr="00FB26AF">
        <w:rPr>
          <w:rFonts w:ascii="Arial" w:hAnsi="Arial" w:cs="Arial"/>
          <w:color w:val="333333"/>
          <w:shd w:val="clear" w:color="auto" w:fill="FFFFFF"/>
        </w:rPr>
        <w:t>- Specific coverage of how brake tests are conducted and assessed via the TCMS or any associated systems.</w:t>
      </w:r>
    </w:p>
    <w:p w14:paraId="29ABDA0A" w14:textId="77777777" w:rsidR="00D9148D" w:rsidRPr="00FB26AF" w:rsidRDefault="00D9148D" w:rsidP="00D9148D">
      <w:pPr>
        <w:rPr>
          <w:rFonts w:ascii="Arial" w:hAnsi="Arial" w:cs="Arial"/>
          <w:color w:val="333333"/>
          <w:shd w:val="clear" w:color="auto" w:fill="FFFFFF"/>
        </w:rPr>
      </w:pPr>
      <w:r w:rsidRPr="00FB26AF">
        <w:rPr>
          <w:rFonts w:ascii="Arial" w:hAnsi="Arial" w:cs="Arial"/>
          <w:color w:val="333333"/>
          <w:shd w:val="clear" w:color="auto" w:fill="FFFFFF"/>
        </w:rPr>
        <w:t>Traction user guide page 58.</w:t>
      </w:r>
    </w:p>
    <w:p w14:paraId="40D87465" w14:textId="77777777" w:rsidR="00D9148D" w:rsidRPr="00FB26AF" w:rsidRDefault="00D9148D" w:rsidP="00D9148D">
      <w:pPr>
        <w:rPr>
          <w:rFonts w:ascii="Arial" w:hAnsi="Arial" w:cs="Arial"/>
          <w:color w:val="333333"/>
          <w:shd w:val="clear" w:color="auto" w:fill="FFFFFF"/>
        </w:rPr>
      </w:pPr>
      <w:r w:rsidRPr="00FB26AF">
        <w:rPr>
          <w:rFonts w:ascii="Arial" w:hAnsi="Arial" w:cs="Arial"/>
          <w:color w:val="333333"/>
          <w:shd w:val="clear" w:color="auto" w:fill="FFFFFF"/>
        </w:rPr>
        <w:t>- Frequency of re-assessment or refresher training.</w:t>
      </w:r>
    </w:p>
    <w:p w14:paraId="4AF61A76" w14:textId="77777777" w:rsidR="00D9148D" w:rsidRPr="00FB26AF" w:rsidRDefault="00D9148D" w:rsidP="00D9148D">
      <w:pPr>
        <w:rPr>
          <w:rFonts w:ascii="Arial" w:hAnsi="Arial" w:cs="Arial"/>
          <w:color w:val="333333"/>
          <w:shd w:val="clear" w:color="auto" w:fill="FFFFFF"/>
        </w:rPr>
      </w:pPr>
      <w:r w:rsidRPr="00FB26AF">
        <w:rPr>
          <w:rFonts w:ascii="Arial" w:hAnsi="Arial" w:cs="Arial"/>
          <w:color w:val="333333"/>
          <w:shd w:val="clear" w:color="auto" w:fill="FFFFFF"/>
        </w:rPr>
        <w:t xml:space="preserve">Post Qualified Drivers (PQA) are re-assessed on degraded operations during their two-year cycle with personal records held within the TFW Competency Management System (CMS). </w:t>
      </w:r>
    </w:p>
    <w:p w14:paraId="5E61FD8D" w14:textId="77777777" w:rsidR="00D9148D" w:rsidRPr="00FB26AF" w:rsidRDefault="00D9148D" w:rsidP="00D9148D">
      <w:pPr>
        <w:rPr>
          <w:rFonts w:ascii="Arial" w:hAnsi="Arial" w:cs="Arial"/>
          <w:color w:val="333333"/>
          <w:shd w:val="clear" w:color="auto" w:fill="FFFFFF"/>
        </w:rPr>
      </w:pPr>
      <w:r w:rsidRPr="00FB26AF">
        <w:rPr>
          <w:rFonts w:ascii="Arial" w:hAnsi="Arial" w:cs="Arial"/>
          <w:color w:val="333333"/>
          <w:shd w:val="clear" w:color="auto" w:fill="FFFFFF"/>
        </w:rPr>
        <w:t>Qualified drivers (those outside of PQA) are re-assessed as part of a three-year cycle.</w:t>
      </w:r>
    </w:p>
    <w:p w14:paraId="7048FE82" w14:textId="77777777" w:rsidR="00D9148D" w:rsidRPr="00FB26AF" w:rsidRDefault="00D9148D" w:rsidP="00D9148D">
      <w:pPr>
        <w:rPr>
          <w:rFonts w:ascii="Arial" w:hAnsi="Arial" w:cs="Arial"/>
          <w:color w:val="333333"/>
          <w:shd w:val="clear" w:color="auto" w:fill="FFFFFF"/>
        </w:rPr>
      </w:pPr>
      <w:r w:rsidRPr="00FB26AF">
        <w:rPr>
          <w:rFonts w:ascii="Arial" w:hAnsi="Arial" w:cs="Arial"/>
          <w:color w:val="333333"/>
          <w:shd w:val="clear" w:color="auto" w:fill="FFFFFF"/>
        </w:rPr>
        <w:t xml:space="preserve">All drivers will be rostered to perform all aspects of 756 train preparation and traction operation within a 12-month period, although drivers on the CVL will </w:t>
      </w:r>
      <w:r>
        <w:rPr>
          <w:rFonts w:ascii="Arial" w:hAnsi="Arial" w:cs="Arial"/>
          <w:color w:val="333333"/>
          <w:shd w:val="clear" w:color="auto" w:fill="FFFFFF"/>
        </w:rPr>
        <w:t xml:space="preserve">typically </w:t>
      </w:r>
      <w:r w:rsidRPr="00FB26AF">
        <w:rPr>
          <w:rFonts w:ascii="Arial" w:hAnsi="Arial" w:cs="Arial"/>
          <w:color w:val="333333"/>
          <w:shd w:val="clear" w:color="auto" w:fill="FFFFFF"/>
        </w:rPr>
        <w:t xml:space="preserve">operate the 756 on an almost daily basis when on duty. </w:t>
      </w:r>
    </w:p>
    <w:p w14:paraId="7FF749CB" w14:textId="64D2BDAC" w:rsidR="009714B7" w:rsidRDefault="009714B7" w:rsidP="00C83296">
      <w:pPr>
        <w:spacing w:after="0" w:line="240" w:lineRule="auto"/>
      </w:pPr>
    </w:p>
    <w:p w14:paraId="6B653D5A" w14:textId="77777777" w:rsidR="009714B7" w:rsidRPr="00C83296" w:rsidRDefault="009714B7" w:rsidP="00C83296">
      <w:pPr>
        <w:spacing w:after="0" w:line="240" w:lineRule="auto"/>
      </w:pPr>
    </w:p>
    <w:p w14:paraId="2F8144AD" w14:textId="77777777" w:rsidR="00C83296" w:rsidRPr="00C83296" w:rsidRDefault="00C83296" w:rsidP="00C83296">
      <w:pPr>
        <w:spacing w:after="0" w:line="240" w:lineRule="auto"/>
      </w:pPr>
    </w:p>
    <w:p w14:paraId="279A84A4" w14:textId="77777777" w:rsidR="00C83296" w:rsidRPr="0086624C" w:rsidRDefault="00C83296" w:rsidP="156E0B0A">
      <w:pPr>
        <w:spacing w:after="0" w:line="240" w:lineRule="auto"/>
      </w:pPr>
    </w:p>
    <w:p w14:paraId="36CFC411" w14:textId="77777777" w:rsidR="002438E2" w:rsidRDefault="002438E2" w:rsidP="156E0B0A">
      <w:pPr>
        <w:spacing w:after="0" w:line="240" w:lineRule="auto"/>
        <w:rPr>
          <w:b/>
          <w:bCs/>
        </w:rPr>
      </w:pPr>
    </w:p>
    <w:p w14:paraId="6D286A27" w14:textId="48CC6E89" w:rsidR="00344DED" w:rsidRPr="00344DED" w:rsidRDefault="00344DED" w:rsidP="00F91E73">
      <w:pPr>
        <w:spacing w:after="0" w:line="240" w:lineRule="auto"/>
        <w:rPr>
          <w:rFonts w:cstheme="minorHAnsi"/>
        </w:rPr>
      </w:pPr>
      <w:r w:rsidRPr="00344DED">
        <w:rPr>
          <w:rFonts w:cstheme="minorHAnsi"/>
        </w:rPr>
        <w:lastRenderedPageBreak/>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Transport for Wales, 3 Llys C</w:t>
                            </w:r>
                            <w:r w:rsidR="00EF058F">
                              <w:rPr>
                                <w:u w:val="single"/>
                              </w:rPr>
                              <w:t>a</w:t>
                            </w:r>
                            <w:r w:rsidRPr="0013481D">
                              <w:rPr>
                                <w:u w:val="single"/>
                              </w:rPr>
                              <w:t>dwyn, Pontypridd, CF37 4TH</w:t>
                            </w:r>
                            <w:r w:rsidRPr="0013481D">
                              <w:t xml:space="preserve"> or </w:t>
                            </w:r>
                            <w:hyperlink r:id="rId10"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1"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Transport for Wales, 3 Llys C</w:t>
                      </w:r>
                      <w:r w:rsidR="00EF058F">
                        <w:rPr>
                          <w:u w:val="single"/>
                        </w:rPr>
                        <w:t>a</w:t>
                      </w:r>
                      <w:r w:rsidRPr="0013481D">
                        <w:rPr>
                          <w:u w:val="single"/>
                        </w:rPr>
                        <w:t>dwyn, Pontypridd, CF37 4TH</w:t>
                      </w:r>
                      <w:r w:rsidRPr="0013481D">
                        <w:t xml:space="preserve"> or </w:t>
                      </w:r>
                      <w:hyperlink r:id="rId12"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3"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7AE05" w14:textId="77777777" w:rsidR="000807C0" w:rsidRDefault="000807C0" w:rsidP="0029704C">
      <w:pPr>
        <w:spacing w:after="0" w:line="240" w:lineRule="auto"/>
      </w:pPr>
      <w:r>
        <w:separator/>
      </w:r>
    </w:p>
  </w:endnote>
  <w:endnote w:type="continuationSeparator" w:id="0">
    <w:p w14:paraId="593E56F3" w14:textId="77777777" w:rsidR="000807C0" w:rsidRDefault="000807C0" w:rsidP="0029704C">
      <w:pPr>
        <w:spacing w:after="0" w:line="240" w:lineRule="auto"/>
      </w:pPr>
      <w:r>
        <w:continuationSeparator/>
      </w:r>
    </w:p>
  </w:endnote>
  <w:endnote w:type="continuationNotice" w:id="1">
    <w:p w14:paraId="0D114F7D" w14:textId="77777777" w:rsidR="000807C0" w:rsidRDefault="000807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99C63" w14:textId="77777777" w:rsidR="000807C0" w:rsidRDefault="000807C0" w:rsidP="0029704C">
      <w:pPr>
        <w:spacing w:after="0" w:line="240" w:lineRule="auto"/>
      </w:pPr>
      <w:r>
        <w:separator/>
      </w:r>
    </w:p>
  </w:footnote>
  <w:footnote w:type="continuationSeparator" w:id="0">
    <w:p w14:paraId="4F7005DC" w14:textId="77777777" w:rsidR="000807C0" w:rsidRDefault="000807C0" w:rsidP="0029704C">
      <w:pPr>
        <w:spacing w:after="0" w:line="240" w:lineRule="auto"/>
      </w:pPr>
      <w:r>
        <w:continuationSeparator/>
      </w:r>
    </w:p>
  </w:footnote>
  <w:footnote w:type="continuationNotice" w:id="1">
    <w:p w14:paraId="17F24810" w14:textId="77777777" w:rsidR="000807C0" w:rsidRDefault="000807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BC38B8"/>
    <w:multiLevelType w:val="hybridMultilevel"/>
    <w:tmpl w:val="E8C434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8EE7099"/>
    <w:multiLevelType w:val="hybridMultilevel"/>
    <w:tmpl w:val="D1380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1"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5E2E552D"/>
    <w:multiLevelType w:val="hybridMultilevel"/>
    <w:tmpl w:val="FC18E83E"/>
    <w:lvl w:ilvl="0" w:tplc="3F0631E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2"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5"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CD953C5"/>
    <w:multiLevelType w:val="hybridMultilevel"/>
    <w:tmpl w:val="0734D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7"/>
  </w:num>
  <w:num w:numId="2" w16cid:durableId="1916353855">
    <w:abstractNumId w:val="27"/>
  </w:num>
  <w:num w:numId="3" w16cid:durableId="1632709340">
    <w:abstractNumId w:val="1"/>
  </w:num>
  <w:num w:numId="4" w16cid:durableId="1687706889">
    <w:abstractNumId w:val="34"/>
  </w:num>
  <w:num w:numId="5" w16cid:durableId="447050164">
    <w:abstractNumId w:val="25"/>
  </w:num>
  <w:num w:numId="6" w16cid:durableId="1085153704">
    <w:abstractNumId w:val="29"/>
  </w:num>
  <w:num w:numId="7" w16cid:durableId="18418906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8"/>
  </w:num>
  <w:num w:numId="9" w16cid:durableId="597829678">
    <w:abstractNumId w:val="21"/>
  </w:num>
  <w:num w:numId="10" w16cid:durableId="2076127692">
    <w:abstractNumId w:val="6"/>
  </w:num>
  <w:num w:numId="11" w16cid:durableId="1218473506">
    <w:abstractNumId w:val="33"/>
  </w:num>
  <w:num w:numId="12" w16cid:durableId="1824615605">
    <w:abstractNumId w:val="15"/>
  </w:num>
  <w:num w:numId="13" w16cid:durableId="2126925490">
    <w:abstractNumId w:val="13"/>
  </w:num>
  <w:num w:numId="14" w16cid:durableId="164785147">
    <w:abstractNumId w:val="37"/>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8"/>
  </w:num>
  <w:num w:numId="17" w16cid:durableId="597904597">
    <w:abstractNumId w:val="16"/>
  </w:num>
  <w:num w:numId="18" w16cid:durableId="489709803">
    <w:abstractNumId w:val="22"/>
  </w:num>
  <w:num w:numId="19" w16cid:durableId="1982618245">
    <w:abstractNumId w:val="12"/>
  </w:num>
  <w:num w:numId="20" w16cid:durableId="1004017448">
    <w:abstractNumId w:val="23"/>
  </w:num>
  <w:num w:numId="21" w16cid:durableId="1916930972">
    <w:abstractNumId w:val="3"/>
  </w:num>
  <w:num w:numId="22" w16cid:durableId="1994068841">
    <w:abstractNumId w:val="2"/>
  </w:num>
  <w:num w:numId="23" w16cid:durableId="1815563318">
    <w:abstractNumId w:val="5"/>
  </w:num>
  <w:num w:numId="24" w16cid:durableId="187105502">
    <w:abstractNumId w:val="24"/>
  </w:num>
  <w:num w:numId="25" w16cid:durableId="2026662365">
    <w:abstractNumId w:val="26"/>
  </w:num>
  <w:num w:numId="26" w16cid:durableId="1653295069">
    <w:abstractNumId w:val="9"/>
  </w:num>
  <w:num w:numId="27" w16cid:durableId="207646958">
    <w:abstractNumId w:val="11"/>
  </w:num>
  <w:num w:numId="28" w16cid:durableId="1264918261">
    <w:abstractNumId w:val="10"/>
  </w:num>
  <w:num w:numId="29" w16cid:durableId="1176581428">
    <w:abstractNumId w:val="35"/>
  </w:num>
  <w:num w:numId="30" w16cid:durableId="1409376743">
    <w:abstractNumId w:val="4"/>
  </w:num>
  <w:num w:numId="31" w16cid:durableId="882867202">
    <w:abstractNumId w:val="19"/>
  </w:num>
  <w:num w:numId="32" w16cid:durableId="1844128489">
    <w:abstractNumId w:val="28"/>
  </w:num>
  <w:num w:numId="33" w16cid:durableId="779298299">
    <w:abstractNumId w:val="32"/>
  </w:num>
  <w:num w:numId="34" w16cid:durableId="1707944029">
    <w:abstractNumId w:val="20"/>
  </w:num>
  <w:num w:numId="35" w16cid:durableId="1506820249">
    <w:abstractNumId w:val="36"/>
  </w:num>
  <w:num w:numId="36" w16cid:durableId="1880320527">
    <w:abstractNumId w:val="30"/>
  </w:num>
  <w:num w:numId="37" w16cid:durableId="1132867617">
    <w:abstractNumId w:val="14"/>
  </w:num>
  <w:num w:numId="38" w16cid:durableId="1146412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1059D"/>
    <w:rsid w:val="000234D9"/>
    <w:rsid w:val="00050181"/>
    <w:rsid w:val="0005296A"/>
    <w:rsid w:val="00060001"/>
    <w:rsid w:val="00063657"/>
    <w:rsid w:val="00064D26"/>
    <w:rsid w:val="0006520C"/>
    <w:rsid w:val="00070FA8"/>
    <w:rsid w:val="00076762"/>
    <w:rsid w:val="000807C0"/>
    <w:rsid w:val="00082512"/>
    <w:rsid w:val="0008339D"/>
    <w:rsid w:val="00084A12"/>
    <w:rsid w:val="00084AA4"/>
    <w:rsid w:val="00091451"/>
    <w:rsid w:val="00092BE5"/>
    <w:rsid w:val="000A1313"/>
    <w:rsid w:val="000A46FB"/>
    <w:rsid w:val="000B4F61"/>
    <w:rsid w:val="000C0C50"/>
    <w:rsid w:val="000C435B"/>
    <w:rsid w:val="000D6B76"/>
    <w:rsid w:val="000E53B7"/>
    <w:rsid w:val="000E7802"/>
    <w:rsid w:val="000F039C"/>
    <w:rsid w:val="000F0A57"/>
    <w:rsid w:val="000F36E4"/>
    <w:rsid w:val="00104C3B"/>
    <w:rsid w:val="00106DE7"/>
    <w:rsid w:val="00120FC3"/>
    <w:rsid w:val="00121A1E"/>
    <w:rsid w:val="00126F78"/>
    <w:rsid w:val="00127C25"/>
    <w:rsid w:val="0013481D"/>
    <w:rsid w:val="00150F52"/>
    <w:rsid w:val="0016361E"/>
    <w:rsid w:val="001869B3"/>
    <w:rsid w:val="0018760E"/>
    <w:rsid w:val="001A1182"/>
    <w:rsid w:val="001A42CB"/>
    <w:rsid w:val="001B369B"/>
    <w:rsid w:val="001B6034"/>
    <w:rsid w:val="001B6FC8"/>
    <w:rsid w:val="001D0015"/>
    <w:rsid w:val="001D0EB8"/>
    <w:rsid w:val="001E4C29"/>
    <w:rsid w:val="001F47D6"/>
    <w:rsid w:val="00210D76"/>
    <w:rsid w:val="00217E85"/>
    <w:rsid w:val="0023065D"/>
    <w:rsid w:val="002438E2"/>
    <w:rsid w:val="00243C1C"/>
    <w:rsid w:val="002532E8"/>
    <w:rsid w:val="0027060F"/>
    <w:rsid w:val="00271383"/>
    <w:rsid w:val="0027240C"/>
    <w:rsid w:val="00293CEC"/>
    <w:rsid w:val="00295410"/>
    <w:rsid w:val="00295F62"/>
    <w:rsid w:val="0029704C"/>
    <w:rsid w:val="002975B5"/>
    <w:rsid w:val="002A2AB3"/>
    <w:rsid w:val="002A45C0"/>
    <w:rsid w:val="002A7139"/>
    <w:rsid w:val="002B38BF"/>
    <w:rsid w:val="002C45FB"/>
    <w:rsid w:val="002C48AD"/>
    <w:rsid w:val="002C5C5E"/>
    <w:rsid w:val="002E3002"/>
    <w:rsid w:val="002E4D66"/>
    <w:rsid w:val="002E75F8"/>
    <w:rsid w:val="002F682B"/>
    <w:rsid w:val="00305CD3"/>
    <w:rsid w:val="0033704E"/>
    <w:rsid w:val="00337EE8"/>
    <w:rsid w:val="00344DED"/>
    <w:rsid w:val="003605D6"/>
    <w:rsid w:val="00382363"/>
    <w:rsid w:val="00393A5F"/>
    <w:rsid w:val="00395911"/>
    <w:rsid w:val="003A66BB"/>
    <w:rsid w:val="003B64F1"/>
    <w:rsid w:val="003B67AE"/>
    <w:rsid w:val="003E56B2"/>
    <w:rsid w:val="003E5FF1"/>
    <w:rsid w:val="003F3973"/>
    <w:rsid w:val="003F49C4"/>
    <w:rsid w:val="00405A67"/>
    <w:rsid w:val="0041139F"/>
    <w:rsid w:val="004126A8"/>
    <w:rsid w:val="0042257B"/>
    <w:rsid w:val="00422689"/>
    <w:rsid w:val="00431B9A"/>
    <w:rsid w:val="00460408"/>
    <w:rsid w:val="00461A8E"/>
    <w:rsid w:val="0047135B"/>
    <w:rsid w:val="004770D2"/>
    <w:rsid w:val="0049234E"/>
    <w:rsid w:val="004B27C7"/>
    <w:rsid w:val="004B27E1"/>
    <w:rsid w:val="004C5A5B"/>
    <w:rsid w:val="004D0EC2"/>
    <w:rsid w:val="004D2ED9"/>
    <w:rsid w:val="004E19CD"/>
    <w:rsid w:val="004E61BE"/>
    <w:rsid w:val="004F2D0C"/>
    <w:rsid w:val="00505423"/>
    <w:rsid w:val="00530D71"/>
    <w:rsid w:val="0053128D"/>
    <w:rsid w:val="00536599"/>
    <w:rsid w:val="005446A4"/>
    <w:rsid w:val="005702F7"/>
    <w:rsid w:val="00585951"/>
    <w:rsid w:val="00586E64"/>
    <w:rsid w:val="00590396"/>
    <w:rsid w:val="005A1697"/>
    <w:rsid w:val="005A232C"/>
    <w:rsid w:val="005B0CC7"/>
    <w:rsid w:val="005B50D2"/>
    <w:rsid w:val="005D05B4"/>
    <w:rsid w:val="005D18F5"/>
    <w:rsid w:val="005D5730"/>
    <w:rsid w:val="005F512A"/>
    <w:rsid w:val="00603694"/>
    <w:rsid w:val="00604616"/>
    <w:rsid w:val="006046AF"/>
    <w:rsid w:val="00612366"/>
    <w:rsid w:val="00617231"/>
    <w:rsid w:val="00622FE7"/>
    <w:rsid w:val="006276CE"/>
    <w:rsid w:val="006325F9"/>
    <w:rsid w:val="00633DB7"/>
    <w:rsid w:val="00640A50"/>
    <w:rsid w:val="00640D42"/>
    <w:rsid w:val="00661880"/>
    <w:rsid w:val="006864C5"/>
    <w:rsid w:val="006976DB"/>
    <w:rsid w:val="006E1A45"/>
    <w:rsid w:val="006F1796"/>
    <w:rsid w:val="006F1CED"/>
    <w:rsid w:val="00700245"/>
    <w:rsid w:val="0072574F"/>
    <w:rsid w:val="00730D02"/>
    <w:rsid w:val="007346B1"/>
    <w:rsid w:val="00734872"/>
    <w:rsid w:val="007509CF"/>
    <w:rsid w:val="007540D6"/>
    <w:rsid w:val="00760E93"/>
    <w:rsid w:val="007628F0"/>
    <w:rsid w:val="00763D1C"/>
    <w:rsid w:val="00764BF7"/>
    <w:rsid w:val="007816E1"/>
    <w:rsid w:val="00782782"/>
    <w:rsid w:val="00782D70"/>
    <w:rsid w:val="00797A24"/>
    <w:rsid w:val="007B30D6"/>
    <w:rsid w:val="007B324E"/>
    <w:rsid w:val="007D46CF"/>
    <w:rsid w:val="007F52CD"/>
    <w:rsid w:val="008106E9"/>
    <w:rsid w:val="00811130"/>
    <w:rsid w:val="008142C8"/>
    <w:rsid w:val="00833A37"/>
    <w:rsid w:val="008362B2"/>
    <w:rsid w:val="00840CBC"/>
    <w:rsid w:val="0086624C"/>
    <w:rsid w:val="008756A3"/>
    <w:rsid w:val="00875924"/>
    <w:rsid w:val="00884520"/>
    <w:rsid w:val="008943C9"/>
    <w:rsid w:val="00894445"/>
    <w:rsid w:val="008A6BEE"/>
    <w:rsid w:val="008B4AEA"/>
    <w:rsid w:val="008B4C1A"/>
    <w:rsid w:val="008C3A62"/>
    <w:rsid w:val="008D0D18"/>
    <w:rsid w:val="008D5428"/>
    <w:rsid w:val="008D6A14"/>
    <w:rsid w:val="008E5B1D"/>
    <w:rsid w:val="009022B9"/>
    <w:rsid w:val="00905666"/>
    <w:rsid w:val="0090674D"/>
    <w:rsid w:val="00920E37"/>
    <w:rsid w:val="009228B6"/>
    <w:rsid w:val="009506DD"/>
    <w:rsid w:val="00955621"/>
    <w:rsid w:val="00955C33"/>
    <w:rsid w:val="0095701E"/>
    <w:rsid w:val="00962DA6"/>
    <w:rsid w:val="009714B7"/>
    <w:rsid w:val="009730BB"/>
    <w:rsid w:val="00980D02"/>
    <w:rsid w:val="0098499E"/>
    <w:rsid w:val="00990DC1"/>
    <w:rsid w:val="00990EE7"/>
    <w:rsid w:val="00994870"/>
    <w:rsid w:val="00997895"/>
    <w:rsid w:val="009A1797"/>
    <w:rsid w:val="009A25CC"/>
    <w:rsid w:val="009C2521"/>
    <w:rsid w:val="009C2579"/>
    <w:rsid w:val="009C283F"/>
    <w:rsid w:val="009D1AAA"/>
    <w:rsid w:val="009D1D8A"/>
    <w:rsid w:val="009D79AC"/>
    <w:rsid w:val="009E53BE"/>
    <w:rsid w:val="009E6357"/>
    <w:rsid w:val="009F0628"/>
    <w:rsid w:val="009F476E"/>
    <w:rsid w:val="00A0047F"/>
    <w:rsid w:val="00A07FE9"/>
    <w:rsid w:val="00A12D5B"/>
    <w:rsid w:val="00A14B43"/>
    <w:rsid w:val="00A20006"/>
    <w:rsid w:val="00A236D8"/>
    <w:rsid w:val="00A53595"/>
    <w:rsid w:val="00A57132"/>
    <w:rsid w:val="00A57966"/>
    <w:rsid w:val="00A6144F"/>
    <w:rsid w:val="00A621D5"/>
    <w:rsid w:val="00A70333"/>
    <w:rsid w:val="00A71943"/>
    <w:rsid w:val="00A8347B"/>
    <w:rsid w:val="00A90D11"/>
    <w:rsid w:val="00A96833"/>
    <w:rsid w:val="00AA2750"/>
    <w:rsid w:val="00AA63E7"/>
    <w:rsid w:val="00AD480A"/>
    <w:rsid w:val="00AD510D"/>
    <w:rsid w:val="00AD5B78"/>
    <w:rsid w:val="00B03466"/>
    <w:rsid w:val="00B05D1F"/>
    <w:rsid w:val="00B26A0E"/>
    <w:rsid w:val="00B30103"/>
    <w:rsid w:val="00B4563D"/>
    <w:rsid w:val="00B5151F"/>
    <w:rsid w:val="00B602F5"/>
    <w:rsid w:val="00B72744"/>
    <w:rsid w:val="00B9465B"/>
    <w:rsid w:val="00B957A2"/>
    <w:rsid w:val="00BA2AE7"/>
    <w:rsid w:val="00BB5EB9"/>
    <w:rsid w:val="00BC1EA7"/>
    <w:rsid w:val="00BD0492"/>
    <w:rsid w:val="00BD12DC"/>
    <w:rsid w:val="00BE1084"/>
    <w:rsid w:val="00BE5B50"/>
    <w:rsid w:val="00C317B9"/>
    <w:rsid w:val="00C324CE"/>
    <w:rsid w:val="00C5241C"/>
    <w:rsid w:val="00C55F2B"/>
    <w:rsid w:val="00C57EB8"/>
    <w:rsid w:val="00C63256"/>
    <w:rsid w:val="00C6692D"/>
    <w:rsid w:val="00C702FD"/>
    <w:rsid w:val="00C80C97"/>
    <w:rsid w:val="00C83296"/>
    <w:rsid w:val="00C84928"/>
    <w:rsid w:val="00C8719B"/>
    <w:rsid w:val="00C875B3"/>
    <w:rsid w:val="00C93B74"/>
    <w:rsid w:val="00C9519D"/>
    <w:rsid w:val="00C97AB0"/>
    <w:rsid w:val="00CA1EED"/>
    <w:rsid w:val="00CB29C7"/>
    <w:rsid w:val="00CC3FFD"/>
    <w:rsid w:val="00CD2DDF"/>
    <w:rsid w:val="00CE131F"/>
    <w:rsid w:val="00CE2068"/>
    <w:rsid w:val="00CF0450"/>
    <w:rsid w:val="00CF6900"/>
    <w:rsid w:val="00CF78BC"/>
    <w:rsid w:val="00CF7A5D"/>
    <w:rsid w:val="00D14B32"/>
    <w:rsid w:val="00D16993"/>
    <w:rsid w:val="00D201A0"/>
    <w:rsid w:val="00D263B3"/>
    <w:rsid w:val="00D324BB"/>
    <w:rsid w:val="00D32B2D"/>
    <w:rsid w:val="00D3743B"/>
    <w:rsid w:val="00D60775"/>
    <w:rsid w:val="00D63AE2"/>
    <w:rsid w:val="00D9148D"/>
    <w:rsid w:val="00DA07B1"/>
    <w:rsid w:val="00DB0081"/>
    <w:rsid w:val="00DB4E79"/>
    <w:rsid w:val="00DB6819"/>
    <w:rsid w:val="00DB6DB0"/>
    <w:rsid w:val="00DC38BC"/>
    <w:rsid w:val="00DC4F13"/>
    <w:rsid w:val="00DE1B2D"/>
    <w:rsid w:val="00DE3034"/>
    <w:rsid w:val="00DF2829"/>
    <w:rsid w:val="00E0646A"/>
    <w:rsid w:val="00E2126A"/>
    <w:rsid w:val="00E24CBC"/>
    <w:rsid w:val="00E35FFE"/>
    <w:rsid w:val="00E47F42"/>
    <w:rsid w:val="00E51B12"/>
    <w:rsid w:val="00E53352"/>
    <w:rsid w:val="00E6287D"/>
    <w:rsid w:val="00E664E7"/>
    <w:rsid w:val="00E8344B"/>
    <w:rsid w:val="00EC2F27"/>
    <w:rsid w:val="00EE479D"/>
    <w:rsid w:val="00EF058F"/>
    <w:rsid w:val="00F35E54"/>
    <w:rsid w:val="00F447A7"/>
    <w:rsid w:val="00F45AEF"/>
    <w:rsid w:val="00F524DE"/>
    <w:rsid w:val="00F65A95"/>
    <w:rsid w:val="00F742DF"/>
    <w:rsid w:val="00F76FA6"/>
    <w:rsid w:val="00F81775"/>
    <w:rsid w:val="00F818ED"/>
    <w:rsid w:val="00F82E01"/>
    <w:rsid w:val="00F91E73"/>
    <w:rsid w:val="00F93D1E"/>
    <w:rsid w:val="00F96BEB"/>
    <w:rsid w:val="00FA35C2"/>
    <w:rsid w:val="00FB37D0"/>
    <w:rsid w:val="00FC6CDD"/>
    <w:rsid w:val="00FC704E"/>
    <w:rsid w:val="00FC77F3"/>
    <w:rsid w:val="00FD4627"/>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4C5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04966596">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80226340">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884026453">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107094">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35877450">
      <w:bodyDiv w:val="1"/>
      <w:marLeft w:val="0"/>
      <w:marRight w:val="0"/>
      <w:marTop w:val="0"/>
      <w:marBottom w:val="0"/>
      <w:divBdr>
        <w:top w:val="none" w:sz="0" w:space="0" w:color="auto"/>
        <w:left w:val="none" w:sz="0" w:space="0" w:color="auto"/>
        <w:bottom w:val="none" w:sz="0" w:space="0" w:color="auto"/>
        <w:right w:val="none" w:sz="0" w:space="0" w:color="auto"/>
      </w:divBdr>
    </w:div>
    <w:div w:id="1141384999">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make-a-complai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eedomofinformation@tfw.wa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make-a-complai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reedomofinformation@tfw.wa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19" ma:contentTypeDescription="Create a new document." ma:contentTypeScope="" ma:versionID="5fd48b8e1a4e72e6b2716fee133545eb">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4489efe31a65c248cbca5de94533c0f0"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BB89F4-4DC9-462F-858E-68BA1F742AFF}">
  <ds:schemaRefs>
    <ds:schemaRef ds:uri="http://schemas.microsoft.com/office/2006/metadata/properties"/>
    <ds:schemaRef ds:uri="http://schemas.microsoft.com/office/infopath/2007/PartnerControls"/>
    <ds:schemaRef ds:uri="4c0ed1d7-e579-4868-9d2f-0a2617519e5d"/>
    <ds:schemaRef ds:uri="71b84520-2f4a-4240-92c9-4d84398e9fa5"/>
    <ds:schemaRef ds:uri="http://schemas.microsoft.com/sharepoint/v3"/>
  </ds:schemaRefs>
</ds:datastoreItem>
</file>

<file path=customXml/itemProps2.xml><?xml version="1.0" encoding="utf-8"?>
<ds:datastoreItem xmlns:ds="http://schemas.openxmlformats.org/officeDocument/2006/customXml" ds:itemID="{213715FF-DDEB-4A11-BB11-5ACAD662E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b84520-2f4a-4240-92c9-4d84398e9fa5"/>
    <ds:schemaRef ds:uri="4c0ed1d7-e579-4868-9d2f-0a2617519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8B8B0B-EFCB-4738-AA33-4CAA3F31B2F1}">
  <ds:schemaRefs>
    <ds:schemaRef ds:uri="http://schemas.microsoft.com/sharepoint/v3/contenttype/forms"/>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35</TotalTime>
  <Pages>5</Pages>
  <Words>1456</Words>
  <Characters>7019</Characters>
  <Application>Microsoft Office Word</Application>
  <DocSecurity>0</DocSecurity>
  <Lines>305</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3</cp:revision>
  <dcterms:created xsi:type="dcterms:W3CDTF">2025-09-03T15:56:00Z</dcterms:created>
  <dcterms:modified xsi:type="dcterms:W3CDTF">2025-09-03T16:30:00Z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