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5E0F19FB"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A86D7C" w:rsidRPr="00A86D7C">
        <w:rPr>
          <w:rStyle w:val="normaltextrun"/>
          <w:rFonts w:ascii="Calibri" w:hAnsi="Calibri" w:cs="Calibri"/>
          <w:sz w:val="22"/>
          <w:szCs w:val="22"/>
        </w:rPr>
        <w:t>8</w:t>
      </w:r>
      <w:r w:rsidR="00A86D7C" w:rsidRPr="00A86D7C">
        <w:rPr>
          <w:rStyle w:val="normaltextrun"/>
          <w:rFonts w:ascii="Calibri" w:hAnsi="Calibri" w:cs="Calibri"/>
          <w:sz w:val="22"/>
          <w:szCs w:val="22"/>
          <w:vertAlign w:val="superscript"/>
        </w:rPr>
        <w:t>th</w:t>
      </w:r>
      <w:r w:rsidR="00A86D7C" w:rsidRPr="00A86D7C">
        <w:rPr>
          <w:rStyle w:val="normaltextrun"/>
          <w:rFonts w:ascii="Calibri" w:hAnsi="Calibri" w:cs="Calibri"/>
          <w:sz w:val="22"/>
          <w:szCs w:val="22"/>
        </w:rPr>
        <w:t xml:space="preserve"> </w:t>
      </w:r>
      <w:r w:rsidR="004B27E1">
        <w:rPr>
          <w:rStyle w:val="normaltextrun"/>
          <w:rFonts w:ascii="Calibri" w:hAnsi="Calibri" w:cs="Calibri"/>
          <w:sz w:val="22"/>
          <w:szCs w:val="22"/>
        </w:rPr>
        <w:t xml:space="preserve">of </w:t>
      </w:r>
      <w:r w:rsidR="00505423">
        <w:rPr>
          <w:rStyle w:val="normaltextrun"/>
          <w:rFonts w:ascii="Calibri" w:hAnsi="Calibri" w:cs="Calibri"/>
          <w:sz w:val="22"/>
          <w:szCs w:val="22"/>
        </w:rPr>
        <w:t xml:space="preserve">August </w:t>
      </w:r>
      <w:r w:rsidR="00461A8E">
        <w:rPr>
          <w:rStyle w:val="normaltextrun"/>
          <w:rFonts w:ascii="Calibri" w:hAnsi="Calibri" w:cs="Calibri"/>
          <w:sz w:val="22"/>
          <w:szCs w:val="22"/>
        </w:rPr>
        <w:t>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18895F5E"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F03A27">
        <w:rPr>
          <w:rStyle w:val="normaltextrun"/>
          <w:rFonts w:ascii="Calibri" w:hAnsi="Calibri" w:cs="Calibri"/>
          <w:b/>
          <w:bCs/>
          <w:color w:val="FF0000"/>
          <w:sz w:val="28"/>
          <w:szCs w:val="28"/>
        </w:rPr>
        <w:t>189</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2926B0C4" w14:textId="77777777" w:rsidR="00A621D5" w:rsidRDefault="00344DED" w:rsidP="00A621D5">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6934AA51" w14:textId="77777777" w:rsidR="00A621D5" w:rsidRDefault="00A621D5" w:rsidP="00A621D5">
      <w:pPr>
        <w:pStyle w:val="paragraph"/>
        <w:spacing w:before="0" w:beforeAutospacing="0" w:after="0" w:afterAutospacing="0"/>
        <w:textAlignment w:val="baseline"/>
        <w:rPr>
          <w:rStyle w:val="normaltextrun"/>
          <w:rFonts w:ascii="Calibri" w:hAnsi="Calibri" w:cs="Calibri"/>
          <w:b/>
          <w:bCs/>
        </w:rPr>
      </w:pPr>
    </w:p>
    <w:p w14:paraId="2D2429E6" w14:textId="77777777" w:rsidR="00F03A27" w:rsidRDefault="00F03A27" w:rsidP="00F03A27">
      <w:pPr>
        <w:spacing w:after="0" w:line="240" w:lineRule="auto"/>
        <w:rPr>
          <w:b/>
          <w:bCs/>
        </w:rPr>
      </w:pPr>
      <w:r w:rsidRPr="00F03A27">
        <w:rPr>
          <w:b/>
          <w:bCs/>
        </w:rPr>
        <w:t>TfW have installed wheelchair ramps at Shrewsbury for the Class 197. The ramps for the Class 196 are identical, and the ramps have been installed side by side.</w:t>
      </w:r>
      <w:r w:rsidRPr="00F03A27">
        <w:rPr>
          <w:b/>
          <w:bCs/>
        </w:rPr>
        <w:br/>
        <w:t>Both the ramps marked Class 196, and the ramps marked Class 197, have the model number RR.1725.808.03.</w:t>
      </w:r>
    </w:p>
    <w:p w14:paraId="48227BD8" w14:textId="0847F137" w:rsidR="00F447A7" w:rsidRDefault="00F03A27" w:rsidP="00F03A27">
      <w:pPr>
        <w:rPr>
          <w:b/>
          <w:bCs/>
        </w:rPr>
      </w:pPr>
      <w:r w:rsidRPr="00F03A27">
        <w:rPr>
          <w:b/>
          <w:bCs/>
        </w:rPr>
        <w:br/>
      </w:r>
      <w:r>
        <w:rPr>
          <w:b/>
          <w:bCs/>
        </w:rPr>
        <w:t xml:space="preserve">1. </w:t>
      </w:r>
      <w:r w:rsidRPr="00F03A27">
        <w:rPr>
          <w:b/>
          <w:bCs/>
        </w:rPr>
        <w:t>Please can you provide the correspondence between Transport for Wales and West Midlands Trains cited by Transport for Wales Customer Relations where West Midlands refused to allow the ramps that had already been installed to be used for Transport for Wales services?</w:t>
      </w:r>
      <w:r w:rsidRPr="00F03A27">
        <w:rPr>
          <w:b/>
          <w:bCs/>
        </w:rPr>
        <w:br/>
      </w:r>
      <w:r>
        <w:rPr>
          <w:b/>
          <w:bCs/>
        </w:rPr>
        <w:t xml:space="preserve">2. </w:t>
      </w:r>
      <w:r w:rsidRPr="00F03A27">
        <w:rPr>
          <w:b/>
          <w:bCs/>
        </w:rPr>
        <w:t>Please provide the cost of each ramp, including the fixings and installation costs?</w:t>
      </w:r>
      <w:r w:rsidRPr="00F03A27">
        <w:rPr>
          <w:b/>
          <w:bCs/>
        </w:rPr>
        <w:br/>
      </w:r>
      <w:r>
        <w:rPr>
          <w:b/>
          <w:bCs/>
        </w:rPr>
        <w:t xml:space="preserve">3. </w:t>
      </w:r>
      <w:r w:rsidRPr="00F03A27">
        <w:rPr>
          <w:b/>
          <w:bCs/>
        </w:rPr>
        <w:t>Please provide copies of all correspondence escalating the ramp duplication, including senior manager involvement in the decision to duplicate the installation of ramps instead of reducing industry costs by installing one RR.1725.808.03 style ramp on each platform?</w:t>
      </w:r>
      <w:r w:rsidRPr="00F03A27">
        <w:rPr>
          <w:b/>
          <w:bCs/>
        </w:rPr>
        <w:br/>
      </w:r>
      <w:r>
        <w:rPr>
          <w:b/>
          <w:bCs/>
        </w:rPr>
        <w:t xml:space="preserve">4. </w:t>
      </w:r>
      <w:r w:rsidRPr="00F03A27">
        <w:rPr>
          <w:b/>
          <w:bCs/>
        </w:rPr>
        <w:t>Please provide details of other locations where wheelchair ramp installation has been duplicated rather than using existing RR.1725.808.03 ramps as part of the Class 197 deployment?</w:t>
      </w:r>
    </w:p>
    <w:p w14:paraId="261EF0D5" w14:textId="747503DF" w:rsidR="00AA63E7" w:rsidRDefault="00AA63E7" w:rsidP="156E0B0A">
      <w:pPr>
        <w:spacing w:after="0" w:line="240" w:lineRule="auto"/>
        <w:rPr>
          <w:b/>
          <w:bCs/>
        </w:rPr>
      </w:pPr>
      <w:r w:rsidRPr="156E0B0A">
        <w:rPr>
          <w:b/>
          <w:bCs/>
        </w:rPr>
        <w:t>RESPONSE</w:t>
      </w:r>
    </w:p>
    <w:p w14:paraId="7AD4D591" w14:textId="77777777" w:rsidR="00F03A27" w:rsidRDefault="00F03A27" w:rsidP="156E0B0A">
      <w:pPr>
        <w:spacing w:after="0" w:line="240" w:lineRule="auto"/>
        <w:rPr>
          <w:b/>
          <w:bCs/>
        </w:rPr>
      </w:pPr>
    </w:p>
    <w:p w14:paraId="1CCCCC97" w14:textId="79C0C4F6" w:rsidR="00F03A27" w:rsidRDefault="00F03A27" w:rsidP="156E0B0A">
      <w:pPr>
        <w:spacing w:after="0" w:line="240" w:lineRule="auto"/>
        <w:rPr>
          <w:u w:val="single"/>
        </w:rPr>
      </w:pPr>
      <w:r w:rsidRPr="00F03A27">
        <w:rPr>
          <w:u w:val="single"/>
        </w:rPr>
        <w:t>Question</w:t>
      </w:r>
      <w:r w:rsidR="005229B0">
        <w:rPr>
          <w:u w:val="single"/>
        </w:rPr>
        <w:t>s</w:t>
      </w:r>
      <w:r w:rsidRPr="00F03A27">
        <w:rPr>
          <w:u w:val="single"/>
        </w:rPr>
        <w:t xml:space="preserve"> 1</w:t>
      </w:r>
      <w:r w:rsidR="005229B0">
        <w:rPr>
          <w:u w:val="single"/>
        </w:rPr>
        <w:t xml:space="preserve"> </w:t>
      </w:r>
    </w:p>
    <w:p w14:paraId="064FF47B" w14:textId="77777777" w:rsidR="008604F8" w:rsidRDefault="008604F8" w:rsidP="156E0B0A">
      <w:pPr>
        <w:spacing w:after="0" w:line="240" w:lineRule="auto"/>
        <w:rPr>
          <w:u w:val="single"/>
        </w:rPr>
      </w:pPr>
    </w:p>
    <w:p w14:paraId="27CAF051" w14:textId="77777777" w:rsidR="00AD3D29" w:rsidRDefault="00A1759B" w:rsidP="156E0B0A">
      <w:pPr>
        <w:spacing w:after="0" w:line="240" w:lineRule="auto"/>
      </w:pPr>
      <w:r w:rsidRPr="00FE7832">
        <w:t xml:space="preserve">Please see attached correspondence between the social media team and </w:t>
      </w:r>
      <w:r w:rsidR="00A41C24" w:rsidRPr="00FE7832">
        <w:t xml:space="preserve">the station manager at Shrewsbury. </w:t>
      </w:r>
    </w:p>
    <w:p w14:paraId="45A7B045" w14:textId="77777777" w:rsidR="00AD3D29" w:rsidRDefault="00AD3D29" w:rsidP="156E0B0A">
      <w:pPr>
        <w:spacing w:after="0" w:line="240" w:lineRule="auto"/>
      </w:pPr>
    </w:p>
    <w:p w14:paraId="76B79E13" w14:textId="731E91DD" w:rsidR="00694B7B" w:rsidRDefault="00AD3D29" w:rsidP="156E0B0A">
      <w:pPr>
        <w:spacing w:after="0" w:line="240" w:lineRule="auto"/>
      </w:pPr>
      <w:r>
        <w:t xml:space="preserve">The </w:t>
      </w:r>
      <w:r w:rsidR="00694B7B">
        <w:t>redactions are exempt by virtue of the following exemption –</w:t>
      </w:r>
    </w:p>
    <w:p w14:paraId="7586D5FC" w14:textId="77777777" w:rsidR="00694B7B" w:rsidRDefault="00694B7B" w:rsidP="156E0B0A">
      <w:pPr>
        <w:spacing w:after="0" w:line="240" w:lineRule="auto"/>
      </w:pPr>
    </w:p>
    <w:p w14:paraId="621C0A68" w14:textId="77777777" w:rsidR="00D226C0" w:rsidRPr="001F4561" w:rsidRDefault="00D226C0" w:rsidP="00D226C0">
      <w:pPr>
        <w:spacing w:after="0"/>
        <w:rPr>
          <w:rFonts w:cstheme="minorHAnsi"/>
          <w:b/>
          <w:bCs/>
        </w:rPr>
      </w:pPr>
      <w:r w:rsidRPr="001F4561">
        <w:rPr>
          <w:b/>
          <w:bCs/>
        </w:rPr>
        <w:t>Section 40(2</w:t>
      </w:r>
      <w:r w:rsidRPr="001F4561">
        <w:rPr>
          <w:rFonts w:cstheme="minorHAnsi"/>
          <w:b/>
          <w:bCs/>
        </w:rPr>
        <w:t>) – Personal Information</w:t>
      </w:r>
    </w:p>
    <w:p w14:paraId="68C8154A" w14:textId="77777777" w:rsidR="00D226C0" w:rsidRDefault="00D226C0" w:rsidP="00D226C0">
      <w:pPr>
        <w:spacing w:after="0"/>
        <w:rPr>
          <w:rFonts w:cstheme="minorHAnsi"/>
        </w:rPr>
      </w:pPr>
    </w:p>
    <w:p w14:paraId="5EE5AC18" w14:textId="77777777" w:rsidR="00D226C0" w:rsidRDefault="00D226C0" w:rsidP="00D226C0">
      <w:pPr>
        <w:spacing w:after="0"/>
        <w:rPr>
          <w:rFonts w:cstheme="minorHAnsi"/>
        </w:rPr>
      </w:pPr>
      <w:r>
        <w:rPr>
          <w:rFonts w:cstheme="minorHAnsi"/>
        </w:rPr>
        <w:t>Under this exemption, personal data should not be disclosed if this would contravene the data protection principles.</w:t>
      </w:r>
    </w:p>
    <w:p w14:paraId="2C080A5C" w14:textId="77777777" w:rsidR="00D226C0" w:rsidRDefault="00D226C0" w:rsidP="00D226C0">
      <w:pPr>
        <w:spacing w:after="0"/>
        <w:rPr>
          <w:rFonts w:cstheme="minorHAnsi"/>
        </w:rPr>
      </w:pPr>
    </w:p>
    <w:p w14:paraId="4B8225A4" w14:textId="77777777" w:rsidR="00D226C0" w:rsidRDefault="00D226C0" w:rsidP="00D226C0">
      <w:pPr>
        <w:spacing w:after="0"/>
        <w:rPr>
          <w:rFonts w:cstheme="minorHAnsi"/>
        </w:rPr>
      </w:pPr>
      <w:r>
        <w:rPr>
          <w:rFonts w:cstheme="minorHAnsi"/>
        </w:rPr>
        <w:t xml:space="preserve">Personal data is defined by the General Data Protection Regulations (GDPR) as follows - </w:t>
      </w:r>
    </w:p>
    <w:p w14:paraId="5AEAE396" w14:textId="77777777" w:rsidR="00D226C0" w:rsidRDefault="00D226C0" w:rsidP="00D226C0">
      <w:pPr>
        <w:spacing w:after="0"/>
        <w:rPr>
          <w:rFonts w:cstheme="minorHAnsi"/>
        </w:rPr>
      </w:pPr>
    </w:p>
    <w:p w14:paraId="0029D7A0" w14:textId="77777777" w:rsidR="00D226C0" w:rsidRDefault="00D226C0" w:rsidP="00D226C0">
      <w:pPr>
        <w:spacing w:after="0"/>
        <w:rPr>
          <w:rFonts w:cstheme="minorHAnsi"/>
          <w:b/>
          <w:bCs/>
          <w:color w:val="000000"/>
          <w:shd w:val="clear" w:color="auto" w:fill="F7F3F0"/>
        </w:rPr>
      </w:pPr>
      <w:r>
        <w:rPr>
          <w:rFonts w:cstheme="minorHAnsi"/>
          <w:b/>
          <w:bCs/>
        </w:rPr>
        <w:t xml:space="preserve"> </w:t>
      </w:r>
      <w:r>
        <w:rPr>
          <w:rFonts w:cstheme="minorHAnsi"/>
          <w:b/>
          <w:bCs/>
          <w:color w:val="000000"/>
          <w:highlight w:val="lightGray"/>
          <w:shd w:val="clear" w:color="auto" w:fill="F7F3F0"/>
        </w:rPr>
        <w:t>“‘personal data’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6041B857" w14:textId="77777777" w:rsidR="00D226C0" w:rsidRDefault="00D226C0" w:rsidP="00D226C0">
      <w:pPr>
        <w:pStyle w:val="NormalWeb"/>
        <w:shd w:val="clear" w:color="auto" w:fill="FFFFFF"/>
        <w:spacing w:before="0" w:beforeAutospacing="0" w:after="0" w:afterAutospacing="0"/>
        <w:rPr>
          <w:rStyle w:val="Strong"/>
          <w:rFonts w:ascii="Arial" w:hAnsi="Arial" w:cs="Arial"/>
          <w:color w:val="111111"/>
          <w:sz w:val="21"/>
          <w:szCs w:val="21"/>
        </w:rPr>
      </w:pPr>
    </w:p>
    <w:p w14:paraId="5449C9AE" w14:textId="77777777" w:rsidR="00D226C0" w:rsidRDefault="00D226C0" w:rsidP="00D226C0">
      <w:pPr>
        <w:pStyle w:val="NormalWeb"/>
        <w:shd w:val="clear" w:color="auto" w:fill="FFFFFF"/>
        <w:spacing w:before="0" w:beforeAutospacing="0" w:after="0" w:afterAutospacing="0"/>
        <w:rPr>
          <w:rStyle w:val="Strong"/>
          <w:rFonts w:ascii="Arial" w:hAnsi="Arial" w:cs="Arial"/>
          <w:b w:val="0"/>
          <w:bCs w:val="0"/>
          <w:color w:val="111111"/>
          <w:sz w:val="21"/>
          <w:szCs w:val="21"/>
        </w:rPr>
      </w:pPr>
      <w:r>
        <w:rPr>
          <w:rStyle w:val="Strong"/>
          <w:rFonts w:ascii="Arial" w:hAnsi="Arial" w:cs="Arial"/>
          <w:color w:val="111111"/>
          <w:sz w:val="21"/>
          <w:szCs w:val="21"/>
        </w:rPr>
        <w:t>ICO guidance states the following –</w:t>
      </w:r>
    </w:p>
    <w:p w14:paraId="2DCB0BE7" w14:textId="77777777" w:rsidR="00D226C0" w:rsidRDefault="00D226C0" w:rsidP="00D226C0">
      <w:pPr>
        <w:pStyle w:val="NormalWeb"/>
        <w:shd w:val="clear" w:color="auto" w:fill="FFFFFF"/>
        <w:spacing w:before="0" w:beforeAutospacing="0" w:after="0" w:afterAutospacing="0"/>
        <w:rPr>
          <w:rStyle w:val="Strong"/>
          <w:b w:val="0"/>
          <w:bCs w:val="0"/>
          <w:color w:val="111111"/>
        </w:rPr>
      </w:pPr>
    </w:p>
    <w:p w14:paraId="619461C6" w14:textId="77777777" w:rsidR="00D226C0" w:rsidRDefault="00D226C0" w:rsidP="00D226C0">
      <w:pPr>
        <w:pStyle w:val="NormalWeb"/>
        <w:shd w:val="clear" w:color="auto" w:fill="FFFFFF"/>
        <w:spacing w:before="0" w:beforeAutospacing="0" w:after="0" w:afterAutospacing="0"/>
        <w:rPr>
          <w:b/>
          <w:bCs/>
          <w:highlight w:val="lightGray"/>
        </w:rPr>
      </w:pPr>
      <w:r>
        <w:rPr>
          <w:b/>
          <w:bCs/>
          <w:highlight w:val="lightGray"/>
        </w:rPr>
        <w:t xml:space="preserve">When a public authority receives a request for information that constitutes personal data about its employees, it must decide whether disclosure would breach Principle 1 of the Data Protection </w:t>
      </w:r>
      <w:r>
        <w:rPr>
          <w:b/>
          <w:bCs/>
          <w:highlight w:val="lightGray"/>
        </w:rPr>
        <w:lastRenderedPageBreak/>
        <w:t xml:space="preserve">Act (the DPA), </w:t>
      </w:r>
      <w:proofErr w:type="spellStart"/>
      <w:r>
        <w:rPr>
          <w:b/>
          <w:bCs/>
          <w:highlight w:val="lightGray"/>
        </w:rPr>
        <w:t>ie</w:t>
      </w:r>
      <w:proofErr w:type="spellEnd"/>
      <w:r>
        <w:rPr>
          <w:b/>
          <w:bCs/>
          <w:highlight w:val="lightGray"/>
        </w:rPr>
        <w:t xml:space="preserve"> whether it would be fair and lawful to disclose the information. Whether the disclosure is fair will depend on </w:t>
      </w:r>
      <w:proofErr w:type="gramStart"/>
      <w:r>
        <w:rPr>
          <w:b/>
          <w:bCs/>
          <w:highlight w:val="lightGray"/>
        </w:rPr>
        <w:t>a number of</w:t>
      </w:r>
      <w:proofErr w:type="gramEnd"/>
      <w:r>
        <w:rPr>
          <w:b/>
          <w:bCs/>
          <w:highlight w:val="lightGray"/>
        </w:rPr>
        <w:t xml:space="preserve"> factors including:</w:t>
      </w:r>
    </w:p>
    <w:p w14:paraId="1477E65D" w14:textId="77777777" w:rsidR="00D226C0" w:rsidRDefault="00D226C0" w:rsidP="00D226C0">
      <w:pPr>
        <w:pStyle w:val="NormalWeb"/>
        <w:shd w:val="clear" w:color="auto" w:fill="FFFFFF"/>
        <w:spacing w:before="0" w:beforeAutospacing="0" w:after="0" w:afterAutospacing="0"/>
        <w:rPr>
          <w:b/>
          <w:bCs/>
          <w:highlight w:val="lightGray"/>
        </w:rPr>
      </w:pPr>
      <w:r>
        <w:rPr>
          <w:b/>
          <w:bCs/>
          <w:highlight w:val="lightGray"/>
        </w:rPr>
        <w:t xml:space="preserve"> </w:t>
      </w:r>
      <w:r>
        <w:rPr>
          <w:b/>
          <w:bCs/>
          <w:highlight w:val="lightGray"/>
        </w:rPr>
        <w:sym w:font="Symbol" w:char="F0B7"/>
      </w:r>
      <w:r>
        <w:rPr>
          <w:b/>
          <w:bCs/>
          <w:highlight w:val="lightGray"/>
        </w:rPr>
        <w:t xml:space="preserve"> whether it is sensitive personal </w:t>
      </w:r>
      <w:proofErr w:type="gramStart"/>
      <w:r>
        <w:rPr>
          <w:b/>
          <w:bCs/>
          <w:highlight w:val="lightGray"/>
        </w:rPr>
        <w:t>data;</w:t>
      </w:r>
      <w:proofErr w:type="gramEnd"/>
    </w:p>
    <w:p w14:paraId="56CD33CF" w14:textId="77777777" w:rsidR="00D226C0" w:rsidRDefault="00D226C0" w:rsidP="00D226C0">
      <w:pPr>
        <w:pStyle w:val="NormalWeb"/>
        <w:shd w:val="clear" w:color="auto" w:fill="FFFFFF"/>
        <w:spacing w:before="0" w:beforeAutospacing="0" w:after="0" w:afterAutospacing="0"/>
        <w:rPr>
          <w:b/>
          <w:bCs/>
          <w:highlight w:val="lightGray"/>
        </w:rPr>
      </w:pPr>
      <w:r>
        <w:rPr>
          <w:b/>
          <w:bCs/>
          <w:highlight w:val="lightGray"/>
        </w:rPr>
        <w:t xml:space="preserve"> </w:t>
      </w:r>
      <w:r>
        <w:rPr>
          <w:b/>
          <w:bCs/>
          <w:highlight w:val="lightGray"/>
        </w:rPr>
        <w:sym w:font="Symbol" w:char="F0B7"/>
      </w:r>
      <w:r>
        <w:rPr>
          <w:b/>
          <w:bCs/>
          <w:highlight w:val="lightGray"/>
        </w:rPr>
        <w:t xml:space="preserve"> the consequences of </w:t>
      </w:r>
      <w:proofErr w:type="gramStart"/>
      <w:r>
        <w:rPr>
          <w:b/>
          <w:bCs/>
          <w:highlight w:val="lightGray"/>
        </w:rPr>
        <w:t>disclosure;</w:t>
      </w:r>
      <w:proofErr w:type="gramEnd"/>
    </w:p>
    <w:p w14:paraId="1949649E" w14:textId="77777777" w:rsidR="00D226C0" w:rsidRDefault="00D226C0" w:rsidP="00D226C0">
      <w:pPr>
        <w:pStyle w:val="NormalWeb"/>
        <w:shd w:val="clear" w:color="auto" w:fill="FFFFFF"/>
        <w:spacing w:before="0" w:beforeAutospacing="0" w:after="0" w:afterAutospacing="0"/>
        <w:rPr>
          <w:b/>
          <w:bCs/>
          <w:highlight w:val="lightGray"/>
        </w:rPr>
      </w:pPr>
      <w:r>
        <w:rPr>
          <w:b/>
          <w:bCs/>
          <w:highlight w:val="lightGray"/>
        </w:rPr>
        <w:t xml:space="preserve"> </w:t>
      </w:r>
      <w:r>
        <w:rPr>
          <w:b/>
          <w:bCs/>
          <w:highlight w:val="lightGray"/>
        </w:rPr>
        <w:sym w:font="Symbol" w:char="F0B7"/>
      </w:r>
      <w:r>
        <w:rPr>
          <w:b/>
          <w:bCs/>
          <w:highlight w:val="lightGray"/>
        </w:rPr>
        <w:t xml:space="preserve"> the reasonable expectations of the employees; and </w:t>
      </w:r>
    </w:p>
    <w:p w14:paraId="2FA5C1C3" w14:textId="77777777" w:rsidR="00D226C0" w:rsidRDefault="00D226C0" w:rsidP="00D226C0">
      <w:pPr>
        <w:pStyle w:val="NormalWeb"/>
        <w:shd w:val="clear" w:color="auto" w:fill="FFFFFF"/>
        <w:spacing w:before="0" w:beforeAutospacing="0" w:after="0" w:afterAutospacing="0"/>
        <w:rPr>
          <w:b/>
          <w:bCs/>
        </w:rPr>
      </w:pPr>
      <w:r>
        <w:rPr>
          <w:b/>
          <w:bCs/>
          <w:highlight w:val="lightGray"/>
        </w:rPr>
        <w:sym w:font="Symbol" w:char="F0B7"/>
      </w:r>
      <w:r>
        <w:rPr>
          <w:b/>
          <w:bCs/>
          <w:highlight w:val="lightGray"/>
        </w:rPr>
        <w:t xml:space="preserve"> whether there is a legitimate interest in the public or requester having access to the information and the balance between this and the rights and freedoms of the data subjects.</w:t>
      </w:r>
    </w:p>
    <w:p w14:paraId="050730CF" w14:textId="77777777" w:rsidR="00D226C0" w:rsidRDefault="00D226C0" w:rsidP="00D226C0">
      <w:pPr>
        <w:pStyle w:val="NormalWeb"/>
        <w:shd w:val="clear" w:color="auto" w:fill="FFFFFF"/>
        <w:spacing w:before="0" w:beforeAutospacing="0" w:after="0" w:afterAutospacing="0"/>
        <w:rPr>
          <w:rFonts w:asciiTheme="minorHAnsi" w:hAnsiTheme="minorHAnsi" w:cstheme="minorHAnsi"/>
          <w:i/>
          <w:iCs/>
        </w:rPr>
      </w:pPr>
    </w:p>
    <w:p w14:paraId="7FE815F0" w14:textId="01E053E3" w:rsidR="00D226C0" w:rsidRPr="004C5A5B" w:rsidRDefault="00D226C0" w:rsidP="00D226C0">
      <w:pPr>
        <w:pStyle w:val="NormalWeb"/>
        <w:shd w:val="clear" w:color="auto" w:fill="FFFFFF"/>
        <w:spacing w:before="0" w:beforeAutospacing="0" w:after="0" w:afterAutospacing="0"/>
        <w:rPr>
          <w:rStyle w:val="Strong"/>
          <w:b w:val="0"/>
          <w:bCs w:val="0"/>
          <w:color w:val="111111"/>
        </w:rPr>
      </w:pPr>
      <w:r w:rsidRPr="004C5A5B">
        <w:rPr>
          <w:rStyle w:val="Strong"/>
          <w:b w:val="0"/>
          <w:bCs w:val="0"/>
          <w:color w:val="111111"/>
        </w:rPr>
        <w:t>In this case, we have identified that the redacted names</w:t>
      </w:r>
      <w:r w:rsidR="00FA3575">
        <w:rPr>
          <w:rStyle w:val="Strong"/>
          <w:b w:val="0"/>
          <w:bCs w:val="0"/>
          <w:color w:val="111111"/>
        </w:rPr>
        <w:t xml:space="preserve">, phone numbers </w:t>
      </w:r>
      <w:r w:rsidR="00547C4A">
        <w:rPr>
          <w:rStyle w:val="Strong"/>
          <w:b w:val="0"/>
          <w:bCs w:val="0"/>
          <w:color w:val="111111"/>
        </w:rPr>
        <w:t>and email addresses</w:t>
      </w:r>
      <w:r>
        <w:rPr>
          <w:rStyle w:val="Strong"/>
          <w:b w:val="0"/>
          <w:bCs w:val="0"/>
          <w:color w:val="111111"/>
        </w:rPr>
        <w:t xml:space="preserve"> of staff</w:t>
      </w:r>
      <w:r w:rsidRPr="004C5A5B">
        <w:rPr>
          <w:rStyle w:val="Strong"/>
          <w:b w:val="0"/>
          <w:bCs w:val="0"/>
          <w:color w:val="111111"/>
        </w:rPr>
        <w:t xml:space="preserve"> contained in this document is personal data AND the release of this information WOULD contravene the first principle of the DPA.</w:t>
      </w:r>
    </w:p>
    <w:p w14:paraId="059EA6DB" w14:textId="77777777" w:rsidR="00D226C0" w:rsidRDefault="00D226C0" w:rsidP="00D226C0">
      <w:pPr>
        <w:pStyle w:val="NormalWeb"/>
        <w:shd w:val="clear" w:color="auto" w:fill="FFFFFF"/>
        <w:spacing w:before="0" w:beforeAutospacing="0" w:after="0" w:afterAutospacing="0"/>
        <w:rPr>
          <w:rStyle w:val="Strong"/>
          <w:b w:val="0"/>
          <w:bCs w:val="0"/>
          <w:color w:val="111111"/>
        </w:rPr>
      </w:pPr>
    </w:p>
    <w:p w14:paraId="3273CD0B" w14:textId="77777777" w:rsidR="00D226C0" w:rsidRDefault="00D226C0" w:rsidP="00D226C0">
      <w:pPr>
        <w:pStyle w:val="NormalWeb"/>
        <w:shd w:val="clear" w:color="auto" w:fill="FFFFFF"/>
        <w:spacing w:before="0" w:beforeAutospacing="0" w:after="0" w:afterAutospacing="0"/>
      </w:pPr>
      <w:r>
        <w:t xml:space="preserve">It is important to remember that disclosure of personal information under the FOI is to “the world at large”. </w:t>
      </w:r>
    </w:p>
    <w:p w14:paraId="1F8DDC4A" w14:textId="77777777" w:rsidR="00D226C0" w:rsidRDefault="00D226C0" w:rsidP="00D226C0">
      <w:pPr>
        <w:pStyle w:val="NormalWeb"/>
        <w:shd w:val="clear" w:color="auto" w:fill="FFFFFF"/>
        <w:spacing w:before="0" w:beforeAutospacing="0" w:after="0" w:afterAutospacing="0"/>
      </w:pPr>
      <w:r>
        <w:t>The key question when it comes to disclosing personal information, is what is the harm that will arise from disclosure.</w:t>
      </w:r>
    </w:p>
    <w:p w14:paraId="2048CCB0" w14:textId="77777777" w:rsidR="00D226C0" w:rsidRDefault="00D226C0" w:rsidP="00D226C0">
      <w:pPr>
        <w:pStyle w:val="NormalWeb"/>
        <w:shd w:val="clear" w:color="auto" w:fill="FFFFFF"/>
        <w:spacing w:before="0" w:beforeAutospacing="0" w:after="0" w:afterAutospacing="0"/>
        <w:rPr>
          <w:rFonts w:ascii="Arial" w:hAnsi="Arial" w:cs="Arial"/>
          <w:color w:val="555555"/>
          <w:sz w:val="21"/>
          <w:szCs w:val="21"/>
        </w:rPr>
      </w:pPr>
    </w:p>
    <w:p w14:paraId="23E1528F" w14:textId="77777777" w:rsidR="00D226C0" w:rsidRPr="002F682B" w:rsidRDefault="00D226C0" w:rsidP="00D226C0">
      <w:pPr>
        <w:spacing w:after="0"/>
        <w:rPr>
          <w:rFonts w:cstheme="minorHAnsi"/>
        </w:rPr>
      </w:pPr>
      <w:r>
        <w:rPr>
          <w:rFonts w:cstheme="minorHAnsi"/>
        </w:rPr>
        <w:t>The individuals in question would not have an expectation that their names would be released into the public domain.</w:t>
      </w:r>
    </w:p>
    <w:p w14:paraId="2EA6F5EF" w14:textId="77777777" w:rsidR="00694B7B" w:rsidRDefault="00694B7B" w:rsidP="156E0B0A">
      <w:pPr>
        <w:spacing w:after="0" w:line="240" w:lineRule="auto"/>
      </w:pPr>
    </w:p>
    <w:p w14:paraId="1E69CCC6" w14:textId="6775D631" w:rsidR="008604F8" w:rsidRPr="00FE7832" w:rsidRDefault="00230F7F" w:rsidP="156E0B0A">
      <w:pPr>
        <w:spacing w:after="0" w:line="240" w:lineRule="auto"/>
      </w:pPr>
      <w:r w:rsidRPr="00FE7832">
        <w:t>Transport</w:t>
      </w:r>
      <w:r w:rsidR="00A41C24" w:rsidRPr="00FE7832">
        <w:t xml:space="preserve"> for Wales</w:t>
      </w:r>
      <w:r>
        <w:t xml:space="preserve"> (TfW)</w:t>
      </w:r>
      <w:r w:rsidR="00A41C24" w:rsidRPr="00FE7832">
        <w:t xml:space="preserve"> do not hold correspondence </w:t>
      </w:r>
      <w:r w:rsidR="009B27D2" w:rsidRPr="00FE7832">
        <w:t>from West Midlands refusing TfW use of the ramp.</w:t>
      </w:r>
    </w:p>
    <w:p w14:paraId="6DAEDC95" w14:textId="77777777" w:rsidR="009B27D2" w:rsidRPr="00FE7832" w:rsidRDefault="009B27D2" w:rsidP="156E0B0A">
      <w:pPr>
        <w:spacing w:after="0" w:line="240" w:lineRule="auto"/>
      </w:pPr>
    </w:p>
    <w:p w14:paraId="0D9CCB65" w14:textId="1ED4D119" w:rsidR="009B27D2" w:rsidRDefault="009B27D2" w:rsidP="156E0B0A">
      <w:pPr>
        <w:spacing w:after="0" w:line="240" w:lineRule="auto"/>
      </w:pPr>
      <w:r w:rsidRPr="00FE7832">
        <w:t>Please see the below from the station manager provided to you outside of the act</w:t>
      </w:r>
      <w:r w:rsidR="00AD3D29">
        <w:t xml:space="preserve"> -</w:t>
      </w:r>
    </w:p>
    <w:p w14:paraId="5F2FA44B" w14:textId="77777777" w:rsidR="00230F7F" w:rsidRDefault="00230F7F" w:rsidP="156E0B0A">
      <w:pPr>
        <w:spacing w:after="0" w:line="240" w:lineRule="auto"/>
      </w:pPr>
    </w:p>
    <w:p w14:paraId="012F65DE" w14:textId="5384421E" w:rsidR="00230F7F" w:rsidRPr="00230F7F" w:rsidRDefault="00230F7F" w:rsidP="00230F7F">
      <w:pPr>
        <w:spacing w:after="0" w:line="240" w:lineRule="auto"/>
        <w:rPr>
          <w:i/>
          <w:iCs/>
          <w:lang w:val="en-US"/>
        </w:rPr>
      </w:pPr>
      <w:r w:rsidRPr="00230F7F">
        <w:rPr>
          <w:i/>
          <w:iCs/>
          <w:lang w:val="en-US"/>
        </w:rPr>
        <w:t xml:space="preserve">Class 196 trains entered service before Class 197s and therefore 196 ramps were installed at Shrewsbury Station first. </w:t>
      </w:r>
    </w:p>
    <w:p w14:paraId="5B9F31CD" w14:textId="77777777" w:rsidR="00AD3D29" w:rsidRPr="00AD3D29" w:rsidRDefault="00AD3D29" w:rsidP="00230F7F">
      <w:pPr>
        <w:spacing w:after="0" w:line="240" w:lineRule="auto"/>
        <w:rPr>
          <w:i/>
          <w:iCs/>
          <w:lang w:val="en-US"/>
        </w:rPr>
      </w:pPr>
    </w:p>
    <w:p w14:paraId="62301C10" w14:textId="09E2C4A9" w:rsidR="00230F7F" w:rsidRPr="00230F7F" w:rsidRDefault="00230F7F" w:rsidP="00230F7F">
      <w:pPr>
        <w:spacing w:after="0" w:line="240" w:lineRule="auto"/>
        <w:rPr>
          <w:i/>
          <w:iCs/>
          <w:lang w:val="en-US"/>
        </w:rPr>
      </w:pPr>
      <w:r w:rsidRPr="00AD3D29">
        <w:rPr>
          <w:i/>
          <w:iCs/>
          <w:lang w:val="en-US"/>
        </w:rPr>
        <w:t>T</w:t>
      </w:r>
      <w:r w:rsidRPr="00230F7F">
        <w:rPr>
          <w:i/>
          <w:iCs/>
          <w:lang w:val="en-US"/>
        </w:rPr>
        <w:t xml:space="preserve">he ramps are slightly different in grip pads and the main difference being the bridge plates. </w:t>
      </w:r>
    </w:p>
    <w:p w14:paraId="6AB18340" w14:textId="77777777" w:rsidR="00230F7F" w:rsidRPr="00230F7F" w:rsidRDefault="00230F7F" w:rsidP="00230F7F">
      <w:pPr>
        <w:spacing w:after="0" w:line="240" w:lineRule="auto"/>
        <w:rPr>
          <w:i/>
          <w:iCs/>
          <w:lang w:val="en-US"/>
        </w:rPr>
      </w:pPr>
    </w:p>
    <w:p w14:paraId="37052E9A" w14:textId="77777777" w:rsidR="00230F7F" w:rsidRPr="00230F7F" w:rsidRDefault="00230F7F" w:rsidP="00230F7F">
      <w:pPr>
        <w:spacing w:after="0" w:line="240" w:lineRule="auto"/>
        <w:rPr>
          <w:i/>
          <w:iCs/>
          <w:lang w:val="en-US"/>
        </w:rPr>
      </w:pPr>
      <w:r w:rsidRPr="00230F7F">
        <w:rPr>
          <w:i/>
          <w:iCs/>
          <w:lang w:val="en-US"/>
        </w:rPr>
        <w:t xml:space="preserve">As we often have multiple assists at the same time, with West Midlands terminating in our bays and 197s using the main platforms, </w:t>
      </w:r>
      <w:proofErr w:type="gramStart"/>
      <w:r w:rsidRPr="00230F7F">
        <w:rPr>
          <w:i/>
          <w:iCs/>
          <w:lang w:val="en-US"/>
        </w:rPr>
        <w:t>the separate</w:t>
      </w:r>
      <w:proofErr w:type="gramEnd"/>
      <w:r w:rsidRPr="00230F7F">
        <w:rPr>
          <w:i/>
          <w:iCs/>
          <w:lang w:val="en-US"/>
        </w:rPr>
        <w:t xml:space="preserve"> ramps are often in use at the same time. Particularly if the wheelchair accessible space on West Midlands is at the very south end of platforms 5 and 6, it would become very challenging to be alighting/boarding a passenger from the south end of the bays and have a passenger waiting on the North end of the platforms. </w:t>
      </w:r>
    </w:p>
    <w:p w14:paraId="706B7B78" w14:textId="77777777" w:rsidR="003739EE" w:rsidRDefault="003739EE" w:rsidP="156E0B0A">
      <w:pPr>
        <w:spacing w:after="0" w:line="240" w:lineRule="auto"/>
      </w:pPr>
    </w:p>
    <w:p w14:paraId="2387B6CB" w14:textId="1AFAAD4C" w:rsidR="00F03A27" w:rsidRDefault="00F03A27" w:rsidP="156E0B0A">
      <w:pPr>
        <w:spacing w:after="0" w:line="240" w:lineRule="auto"/>
        <w:rPr>
          <w:u w:val="single"/>
        </w:rPr>
      </w:pPr>
      <w:r w:rsidRPr="00F03A27">
        <w:rPr>
          <w:u w:val="single"/>
        </w:rPr>
        <w:t>Question 2</w:t>
      </w:r>
    </w:p>
    <w:p w14:paraId="67CA67A3" w14:textId="77777777" w:rsidR="00F03A27" w:rsidRDefault="00F03A27" w:rsidP="156E0B0A">
      <w:pPr>
        <w:spacing w:after="0" w:line="240" w:lineRule="auto"/>
        <w:rPr>
          <w:u w:val="single"/>
        </w:rPr>
      </w:pPr>
    </w:p>
    <w:p w14:paraId="04AC5072" w14:textId="77777777" w:rsidR="00F03A27" w:rsidRPr="00F03A27" w:rsidRDefault="00F03A27" w:rsidP="00F03A27">
      <w:pPr>
        <w:spacing w:after="0" w:line="240" w:lineRule="auto"/>
      </w:pPr>
      <w:r w:rsidRPr="00F03A27">
        <w:t xml:space="preserve">Shrewsbury Installations were completed on the </w:t>
      </w:r>
      <w:proofErr w:type="gramStart"/>
      <w:r w:rsidRPr="00F03A27">
        <w:t>4</w:t>
      </w:r>
      <w:r w:rsidRPr="00F03A27">
        <w:rPr>
          <w:vertAlign w:val="superscript"/>
        </w:rPr>
        <w:t>th</w:t>
      </w:r>
      <w:proofErr w:type="gramEnd"/>
      <w:r w:rsidRPr="00F03A27">
        <w:t xml:space="preserve"> January 2024, and capex costs (excluding maintenance) are outlined below:</w:t>
      </w:r>
    </w:p>
    <w:p w14:paraId="6196DFB5" w14:textId="77777777" w:rsidR="00F03A27" w:rsidRPr="00F03A27" w:rsidRDefault="00F03A27" w:rsidP="00F03A27">
      <w:pPr>
        <w:spacing w:after="0" w:line="240" w:lineRule="auto"/>
      </w:pPr>
    </w:p>
    <w:p w14:paraId="741108BA" w14:textId="77777777" w:rsidR="00F03A27" w:rsidRPr="00F03A27" w:rsidRDefault="00F03A27" w:rsidP="00F03A27">
      <w:pPr>
        <w:spacing w:after="0" w:line="240" w:lineRule="auto"/>
      </w:pPr>
      <w:r w:rsidRPr="00F03A27">
        <w:t>Survey £400</w:t>
      </w:r>
    </w:p>
    <w:p w14:paraId="4C88CFF0" w14:textId="77777777" w:rsidR="00F03A27" w:rsidRPr="00F03A27" w:rsidRDefault="00F03A27" w:rsidP="00F03A27">
      <w:pPr>
        <w:spacing w:after="0" w:line="240" w:lineRule="auto"/>
      </w:pPr>
      <w:r w:rsidRPr="00F03A27">
        <w:t>Accessibility Rail Ramps £685 * 5 = £3425</w:t>
      </w:r>
    </w:p>
    <w:p w14:paraId="379E1A81" w14:textId="77777777" w:rsidR="00F03A27" w:rsidRPr="00F03A27" w:rsidRDefault="00F03A27" w:rsidP="00F03A27">
      <w:pPr>
        <w:spacing w:after="0" w:line="240" w:lineRule="auto"/>
      </w:pPr>
      <w:r w:rsidRPr="00F03A27">
        <w:t>Locking Device Hood &amp; Tray £225*5 = £1125</w:t>
      </w:r>
    </w:p>
    <w:p w14:paraId="476BAB6B" w14:textId="77777777" w:rsidR="00F03A27" w:rsidRPr="00F03A27" w:rsidRDefault="00F03A27" w:rsidP="00F03A27">
      <w:pPr>
        <w:spacing w:after="0" w:line="240" w:lineRule="auto"/>
      </w:pPr>
      <w:r w:rsidRPr="00F03A27">
        <w:t>Installation £350 * 5 = £1750</w:t>
      </w:r>
    </w:p>
    <w:p w14:paraId="089BF893" w14:textId="77777777" w:rsidR="00F03A27" w:rsidRPr="00F03A27" w:rsidRDefault="00F03A27" w:rsidP="00F03A27">
      <w:pPr>
        <w:spacing w:after="0" w:line="240" w:lineRule="auto"/>
      </w:pPr>
      <w:r w:rsidRPr="00F03A27">
        <w:t>Bridging Plates £395</w:t>
      </w:r>
      <w:r w:rsidRPr="00F03A27">
        <w:softHyphen/>
        <w:t xml:space="preserve"> * 5 = £1975</w:t>
      </w:r>
    </w:p>
    <w:p w14:paraId="629BC491" w14:textId="77777777" w:rsidR="00F03A27" w:rsidRPr="00F03A27" w:rsidRDefault="00F03A27" w:rsidP="00F03A27">
      <w:pPr>
        <w:spacing w:after="0" w:line="240" w:lineRule="auto"/>
      </w:pPr>
      <w:r w:rsidRPr="00F03A27">
        <w:t>Locking device £</w:t>
      </w:r>
      <w:proofErr w:type="gramStart"/>
      <w:r w:rsidRPr="00F03A27">
        <w:t>225  *</w:t>
      </w:r>
      <w:proofErr w:type="gramEnd"/>
      <w:r w:rsidRPr="00F03A27">
        <w:t xml:space="preserve"> 5 = £1125</w:t>
      </w:r>
    </w:p>
    <w:p w14:paraId="0CD0CC1D" w14:textId="77777777" w:rsidR="00F03A27" w:rsidRPr="00F03A27" w:rsidRDefault="00F03A27" w:rsidP="00F03A27">
      <w:pPr>
        <w:spacing w:after="0" w:line="240" w:lineRule="auto"/>
      </w:pPr>
      <w:r w:rsidRPr="00F03A27">
        <w:t>Installation £</w:t>
      </w:r>
      <w:proofErr w:type="gramStart"/>
      <w:r w:rsidRPr="00F03A27">
        <w:t>100  *</w:t>
      </w:r>
      <w:proofErr w:type="gramEnd"/>
      <w:r w:rsidRPr="00F03A27">
        <w:t xml:space="preserve"> 5 = £500</w:t>
      </w:r>
    </w:p>
    <w:p w14:paraId="41333B6B" w14:textId="77777777" w:rsidR="00F03A27" w:rsidRPr="00F03A27" w:rsidRDefault="00F03A27" w:rsidP="00F03A27">
      <w:pPr>
        <w:spacing w:after="0" w:line="240" w:lineRule="auto"/>
      </w:pPr>
      <w:r w:rsidRPr="00F03A27">
        <w:t>Total cost £9,900</w:t>
      </w:r>
    </w:p>
    <w:p w14:paraId="47F42C84" w14:textId="77777777" w:rsidR="00F03A27" w:rsidRDefault="00F03A27" w:rsidP="156E0B0A">
      <w:pPr>
        <w:spacing w:after="0" w:line="240" w:lineRule="auto"/>
        <w:rPr>
          <w:u w:val="single"/>
        </w:rPr>
      </w:pPr>
    </w:p>
    <w:p w14:paraId="2E106072" w14:textId="13753A34" w:rsidR="008604F8" w:rsidRDefault="008604F8" w:rsidP="156E0B0A">
      <w:pPr>
        <w:spacing w:after="0" w:line="240" w:lineRule="auto"/>
        <w:rPr>
          <w:u w:val="single"/>
        </w:rPr>
      </w:pPr>
      <w:r>
        <w:rPr>
          <w:u w:val="single"/>
        </w:rPr>
        <w:t>Question 3</w:t>
      </w:r>
    </w:p>
    <w:p w14:paraId="17509E7A" w14:textId="77777777" w:rsidR="008604F8" w:rsidRDefault="008604F8" w:rsidP="156E0B0A">
      <w:pPr>
        <w:spacing w:after="0" w:line="240" w:lineRule="auto"/>
        <w:rPr>
          <w:u w:val="single"/>
        </w:rPr>
      </w:pPr>
    </w:p>
    <w:p w14:paraId="5EEAE1C3" w14:textId="77777777" w:rsidR="008604F8" w:rsidRDefault="008604F8" w:rsidP="008604F8">
      <w:pPr>
        <w:spacing w:after="0" w:line="240" w:lineRule="auto"/>
      </w:pPr>
      <w:r w:rsidRPr="003739EE">
        <w:t>Transport for Wales do not hold any such correspondence.</w:t>
      </w:r>
    </w:p>
    <w:p w14:paraId="433EE52E" w14:textId="77777777" w:rsidR="008604F8" w:rsidRPr="00F03A27" w:rsidRDefault="008604F8" w:rsidP="156E0B0A">
      <w:pPr>
        <w:spacing w:after="0" w:line="240" w:lineRule="auto"/>
        <w:rPr>
          <w:u w:val="single"/>
        </w:rPr>
      </w:pPr>
    </w:p>
    <w:p w14:paraId="71708BA9" w14:textId="45FEAECA" w:rsidR="00F03A27" w:rsidRDefault="00F03A27" w:rsidP="156E0B0A">
      <w:pPr>
        <w:spacing w:after="0" w:line="240" w:lineRule="auto"/>
        <w:rPr>
          <w:u w:val="single"/>
        </w:rPr>
      </w:pPr>
      <w:r w:rsidRPr="00F03A27">
        <w:rPr>
          <w:u w:val="single"/>
        </w:rPr>
        <w:t>Question 4</w:t>
      </w:r>
    </w:p>
    <w:p w14:paraId="71CD54F7" w14:textId="77777777" w:rsidR="00F03A27" w:rsidRDefault="00F03A27" w:rsidP="156E0B0A">
      <w:pPr>
        <w:spacing w:after="0" w:line="240" w:lineRule="auto"/>
        <w:rPr>
          <w:u w:val="single"/>
        </w:rPr>
      </w:pPr>
    </w:p>
    <w:p w14:paraId="2A9B640F" w14:textId="4F847A43" w:rsidR="00F03A27" w:rsidRPr="00F03A27" w:rsidRDefault="00D45D29" w:rsidP="00F03A27">
      <w:pPr>
        <w:spacing w:after="0" w:line="240" w:lineRule="auto"/>
      </w:pPr>
      <w:r>
        <w:t>T</w:t>
      </w:r>
      <w:r w:rsidR="00F03A27" w:rsidRPr="00F03A27">
        <w:t xml:space="preserve">he following stations </w:t>
      </w:r>
      <w:r w:rsidR="002B187D">
        <w:t xml:space="preserve">will have </w:t>
      </w:r>
      <w:r>
        <w:t xml:space="preserve">class 197 and 196 </w:t>
      </w:r>
      <w:r w:rsidR="00F03A27" w:rsidRPr="00F03A27">
        <w:t>in addition to Shrewsbury:</w:t>
      </w:r>
    </w:p>
    <w:p w14:paraId="265A52B1" w14:textId="77777777" w:rsidR="00F03A27" w:rsidRPr="00F03A27" w:rsidRDefault="00F03A27" w:rsidP="00F03A27">
      <w:pPr>
        <w:spacing w:after="0" w:line="240" w:lineRule="auto"/>
      </w:pPr>
      <w:r w:rsidRPr="00F03A27">
        <w:t>Wellington</w:t>
      </w:r>
    </w:p>
    <w:p w14:paraId="72230F76" w14:textId="77777777" w:rsidR="00F03A27" w:rsidRPr="00F03A27" w:rsidRDefault="00F03A27" w:rsidP="00F03A27">
      <w:pPr>
        <w:spacing w:after="0" w:line="240" w:lineRule="auto"/>
      </w:pPr>
      <w:r w:rsidRPr="00F03A27">
        <w:t>Telford</w:t>
      </w:r>
    </w:p>
    <w:p w14:paraId="461526CA" w14:textId="77777777" w:rsidR="00F03A27" w:rsidRPr="00F03A27" w:rsidRDefault="00F03A27" w:rsidP="00F03A27">
      <w:pPr>
        <w:spacing w:after="0" w:line="240" w:lineRule="auto"/>
      </w:pPr>
      <w:r w:rsidRPr="00F03A27">
        <w:t>Wolverhampton</w:t>
      </w:r>
    </w:p>
    <w:p w14:paraId="1BF06D46" w14:textId="2A3C2F86" w:rsidR="00D45D29" w:rsidRDefault="00F03A27" w:rsidP="00F03A27">
      <w:pPr>
        <w:spacing w:after="0" w:line="240" w:lineRule="auto"/>
      </w:pPr>
      <w:r w:rsidRPr="00F03A27">
        <w:t xml:space="preserve">Sandwell </w:t>
      </w:r>
    </w:p>
    <w:p w14:paraId="347DF637" w14:textId="28533A4D" w:rsidR="00F03A27" w:rsidRDefault="00F03A27" w:rsidP="00F03A27">
      <w:pPr>
        <w:spacing w:after="0" w:line="240" w:lineRule="auto"/>
      </w:pPr>
      <w:r w:rsidRPr="00F03A27">
        <w:t>Dudley</w:t>
      </w:r>
    </w:p>
    <w:p w14:paraId="4F349BF6" w14:textId="1F73134F" w:rsidR="003739EE" w:rsidRDefault="003739EE" w:rsidP="00F03A27">
      <w:pPr>
        <w:spacing w:after="0" w:line="240" w:lineRule="auto"/>
      </w:pPr>
      <w:r>
        <w:t>Birmingham New Street and</w:t>
      </w:r>
    </w:p>
    <w:p w14:paraId="6FA8E5AA" w14:textId="13109E6A" w:rsidR="003739EE" w:rsidRDefault="003739EE" w:rsidP="00F03A27">
      <w:pPr>
        <w:spacing w:after="0" w:line="240" w:lineRule="auto"/>
      </w:pPr>
      <w:r>
        <w:t>Birmingham International</w:t>
      </w:r>
    </w:p>
    <w:p w14:paraId="2B3519F8" w14:textId="77777777" w:rsidR="00BB6087" w:rsidRDefault="00BB6087" w:rsidP="00F03A27">
      <w:pPr>
        <w:spacing w:after="0" w:line="240" w:lineRule="auto"/>
      </w:pPr>
    </w:p>
    <w:p w14:paraId="300A5976" w14:textId="4CABC8DA" w:rsidR="00BB6087" w:rsidRPr="00F03A27" w:rsidRDefault="00BB6087" w:rsidP="00F03A27">
      <w:pPr>
        <w:spacing w:after="0" w:line="240" w:lineRule="auto"/>
      </w:pPr>
      <w:r>
        <w:t xml:space="preserve">Under Section 16, the duty to advise and assist, our Operations Integrations Manager has said that if you would like to talk to her further </w:t>
      </w:r>
      <w:r w:rsidR="00022E78">
        <w:t xml:space="preserve">about this, please let us know and your details can be passed to </w:t>
      </w:r>
      <w:proofErr w:type="gramStart"/>
      <w:r w:rsidR="00022E78">
        <w:t>her</w:t>
      </w:r>
      <w:proofErr w:type="gramEnd"/>
      <w:r w:rsidR="00022E78">
        <w:t xml:space="preserve"> and she will contact you.</w:t>
      </w:r>
    </w:p>
    <w:p w14:paraId="36CFC411" w14:textId="77777777" w:rsidR="002438E2" w:rsidRDefault="002438E2" w:rsidP="156E0B0A">
      <w:pPr>
        <w:spacing w:after="0" w:line="240" w:lineRule="auto"/>
        <w:rPr>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50483" w14:textId="77777777" w:rsidR="0053357F" w:rsidRDefault="0053357F" w:rsidP="0029704C">
      <w:pPr>
        <w:spacing w:after="0" w:line="240" w:lineRule="auto"/>
      </w:pPr>
      <w:r>
        <w:separator/>
      </w:r>
    </w:p>
  </w:endnote>
  <w:endnote w:type="continuationSeparator" w:id="0">
    <w:p w14:paraId="180A75C6" w14:textId="77777777" w:rsidR="0053357F" w:rsidRDefault="0053357F" w:rsidP="0029704C">
      <w:pPr>
        <w:spacing w:after="0" w:line="240" w:lineRule="auto"/>
      </w:pPr>
      <w:r>
        <w:continuationSeparator/>
      </w:r>
    </w:p>
  </w:endnote>
  <w:endnote w:type="continuationNotice" w:id="1">
    <w:p w14:paraId="2A1A45F6" w14:textId="77777777" w:rsidR="0053357F" w:rsidRDefault="005335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18018" w14:textId="77777777" w:rsidR="0053357F" w:rsidRDefault="0053357F" w:rsidP="0029704C">
      <w:pPr>
        <w:spacing w:after="0" w:line="240" w:lineRule="auto"/>
      </w:pPr>
      <w:r>
        <w:separator/>
      </w:r>
    </w:p>
  </w:footnote>
  <w:footnote w:type="continuationSeparator" w:id="0">
    <w:p w14:paraId="01AC4FDA" w14:textId="77777777" w:rsidR="0053357F" w:rsidRDefault="0053357F" w:rsidP="0029704C">
      <w:pPr>
        <w:spacing w:after="0" w:line="240" w:lineRule="auto"/>
      </w:pPr>
      <w:r>
        <w:continuationSeparator/>
      </w:r>
    </w:p>
  </w:footnote>
  <w:footnote w:type="continuationNotice" w:id="1">
    <w:p w14:paraId="2BFF5E82" w14:textId="77777777" w:rsidR="0053357F" w:rsidRDefault="005335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934"/>
    <w:multiLevelType w:val="hybridMultilevel"/>
    <w:tmpl w:val="341CA8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5"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7"/>
  </w:num>
  <w:num w:numId="3" w16cid:durableId="1632709340">
    <w:abstractNumId w:val="2"/>
  </w:num>
  <w:num w:numId="4" w16cid:durableId="1687706889">
    <w:abstractNumId w:val="34"/>
  </w:num>
  <w:num w:numId="5" w16cid:durableId="447050164">
    <w:abstractNumId w:val="25"/>
  </w:num>
  <w:num w:numId="6" w16cid:durableId="1085153704">
    <w:abstractNumId w:val="29"/>
  </w:num>
  <w:num w:numId="7" w16cid:durableId="1841890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1"/>
  </w:num>
  <w:num w:numId="10" w16cid:durableId="2076127692">
    <w:abstractNumId w:val="7"/>
  </w:num>
  <w:num w:numId="11" w16cid:durableId="1218473506">
    <w:abstractNumId w:val="33"/>
  </w:num>
  <w:num w:numId="12" w16cid:durableId="1824615605">
    <w:abstractNumId w:val="15"/>
  </w:num>
  <w:num w:numId="13" w16cid:durableId="2126925490">
    <w:abstractNumId w:val="13"/>
  </w:num>
  <w:num w:numId="14" w16cid:durableId="164785147">
    <w:abstractNumId w:val="37"/>
  </w:num>
  <w:num w:numId="15" w16cid:durableId="1495489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6"/>
  </w:num>
  <w:num w:numId="18" w16cid:durableId="489709803">
    <w:abstractNumId w:val="22"/>
  </w:num>
  <w:num w:numId="19" w16cid:durableId="1982618245">
    <w:abstractNumId w:val="12"/>
  </w:num>
  <w:num w:numId="20" w16cid:durableId="1004017448">
    <w:abstractNumId w:val="23"/>
  </w:num>
  <w:num w:numId="21" w16cid:durableId="1916930972">
    <w:abstractNumId w:val="4"/>
  </w:num>
  <w:num w:numId="22" w16cid:durableId="1994068841">
    <w:abstractNumId w:val="3"/>
  </w:num>
  <w:num w:numId="23" w16cid:durableId="1815563318">
    <w:abstractNumId w:val="6"/>
  </w:num>
  <w:num w:numId="24" w16cid:durableId="187105502">
    <w:abstractNumId w:val="24"/>
  </w:num>
  <w:num w:numId="25" w16cid:durableId="2026662365">
    <w:abstractNumId w:val="26"/>
  </w:num>
  <w:num w:numId="26" w16cid:durableId="1653295069">
    <w:abstractNumId w:val="9"/>
  </w:num>
  <w:num w:numId="27" w16cid:durableId="207646958">
    <w:abstractNumId w:val="11"/>
  </w:num>
  <w:num w:numId="28" w16cid:durableId="1264918261">
    <w:abstractNumId w:val="10"/>
  </w:num>
  <w:num w:numId="29" w16cid:durableId="1176581428">
    <w:abstractNumId w:val="35"/>
  </w:num>
  <w:num w:numId="30" w16cid:durableId="1409376743">
    <w:abstractNumId w:val="5"/>
  </w:num>
  <w:num w:numId="31" w16cid:durableId="882867202">
    <w:abstractNumId w:val="19"/>
  </w:num>
  <w:num w:numId="32" w16cid:durableId="1844128489">
    <w:abstractNumId w:val="28"/>
  </w:num>
  <w:num w:numId="33" w16cid:durableId="779298299">
    <w:abstractNumId w:val="32"/>
  </w:num>
  <w:num w:numId="34" w16cid:durableId="1707944029">
    <w:abstractNumId w:val="20"/>
  </w:num>
  <w:num w:numId="35" w16cid:durableId="1506820249">
    <w:abstractNumId w:val="36"/>
  </w:num>
  <w:num w:numId="36" w16cid:durableId="1880320527">
    <w:abstractNumId w:val="30"/>
  </w:num>
  <w:num w:numId="37" w16cid:durableId="1132867617">
    <w:abstractNumId w:val="14"/>
  </w:num>
  <w:num w:numId="38" w16cid:durableId="1651052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2E78"/>
    <w:rsid w:val="000234D9"/>
    <w:rsid w:val="000265B0"/>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0E51"/>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30F7F"/>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187D"/>
    <w:rsid w:val="002B38BF"/>
    <w:rsid w:val="002C45FB"/>
    <w:rsid w:val="002C48AD"/>
    <w:rsid w:val="002C5C5E"/>
    <w:rsid w:val="002E3002"/>
    <w:rsid w:val="002E4D66"/>
    <w:rsid w:val="002E75F8"/>
    <w:rsid w:val="002F682B"/>
    <w:rsid w:val="00305CD3"/>
    <w:rsid w:val="0033704E"/>
    <w:rsid w:val="00337EE8"/>
    <w:rsid w:val="00344DED"/>
    <w:rsid w:val="003605D6"/>
    <w:rsid w:val="003739EE"/>
    <w:rsid w:val="00375792"/>
    <w:rsid w:val="00382363"/>
    <w:rsid w:val="00393A5F"/>
    <w:rsid w:val="00395911"/>
    <w:rsid w:val="003A66BB"/>
    <w:rsid w:val="003B64F1"/>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2ED9"/>
    <w:rsid w:val="004E19CD"/>
    <w:rsid w:val="004E61BE"/>
    <w:rsid w:val="004F2D0C"/>
    <w:rsid w:val="00505423"/>
    <w:rsid w:val="005229B0"/>
    <w:rsid w:val="00530D71"/>
    <w:rsid w:val="0053128D"/>
    <w:rsid w:val="0053357F"/>
    <w:rsid w:val="00536599"/>
    <w:rsid w:val="005446A4"/>
    <w:rsid w:val="00547C4A"/>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76CE"/>
    <w:rsid w:val="006325F9"/>
    <w:rsid w:val="00633DB7"/>
    <w:rsid w:val="00640A50"/>
    <w:rsid w:val="00640D42"/>
    <w:rsid w:val="00661880"/>
    <w:rsid w:val="00694B7B"/>
    <w:rsid w:val="006976DB"/>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604F8"/>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1797"/>
    <w:rsid w:val="009A25CC"/>
    <w:rsid w:val="009B27D2"/>
    <w:rsid w:val="009C2521"/>
    <w:rsid w:val="009C2579"/>
    <w:rsid w:val="009C283F"/>
    <w:rsid w:val="009C4CBA"/>
    <w:rsid w:val="009D1AAA"/>
    <w:rsid w:val="009D1D8A"/>
    <w:rsid w:val="009D79AC"/>
    <w:rsid w:val="009E53BE"/>
    <w:rsid w:val="009E6357"/>
    <w:rsid w:val="009F0628"/>
    <w:rsid w:val="009F476E"/>
    <w:rsid w:val="00A0047F"/>
    <w:rsid w:val="00A07FE9"/>
    <w:rsid w:val="00A12B37"/>
    <w:rsid w:val="00A12D5B"/>
    <w:rsid w:val="00A14B43"/>
    <w:rsid w:val="00A1759B"/>
    <w:rsid w:val="00A20006"/>
    <w:rsid w:val="00A236D8"/>
    <w:rsid w:val="00A41C24"/>
    <w:rsid w:val="00A53595"/>
    <w:rsid w:val="00A57132"/>
    <w:rsid w:val="00A57966"/>
    <w:rsid w:val="00A6144F"/>
    <w:rsid w:val="00A621D5"/>
    <w:rsid w:val="00A70333"/>
    <w:rsid w:val="00A70554"/>
    <w:rsid w:val="00A71943"/>
    <w:rsid w:val="00A8347B"/>
    <w:rsid w:val="00A86D7C"/>
    <w:rsid w:val="00A90D11"/>
    <w:rsid w:val="00A96833"/>
    <w:rsid w:val="00AA2750"/>
    <w:rsid w:val="00AA63E7"/>
    <w:rsid w:val="00AD3D29"/>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B6087"/>
    <w:rsid w:val="00BC1EA7"/>
    <w:rsid w:val="00BD0492"/>
    <w:rsid w:val="00BD12DC"/>
    <w:rsid w:val="00BE1084"/>
    <w:rsid w:val="00BE5B50"/>
    <w:rsid w:val="00BF3F0A"/>
    <w:rsid w:val="00C317B9"/>
    <w:rsid w:val="00C324CE"/>
    <w:rsid w:val="00C5241C"/>
    <w:rsid w:val="00C55F2B"/>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26C0"/>
    <w:rsid w:val="00D263B3"/>
    <w:rsid w:val="00D324BB"/>
    <w:rsid w:val="00D32B2D"/>
    <w:rsid w:val="00D3743B"/>
    <w:rsid w:val="00D45D29"/>
    <w:rsid w:val="00D60775"/>
    <w:rsid w:val="00D63AE2"/>
    <w:rsid w:val="00D77F76"/>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90FB4"/>
    <w:rsid w:val="00EC2F27"/>
    <w:rsid w:val="00EE479D"/>
    <w:rsid w:val="00EF058F"/>
    <w:rsid w:val="00EF6693"/>
    <w:rsid w:val="00F03A27"/>
    <w:rsid w:val="00F35E54"/>
    <w:rsid w:val="00F447A7"/>
    <w:rsid w:val="00F45AEF"/>
    <w:rsid w:val="00F524DE"/>
    <w:rsid w:val="00F65A95"/>
    <w:rsid w:val="00F742DF"/>
    <w:rsid w:val="00F76FA6"/>
    <w:rsid w:val="00F81775"/>
    <w:rsid w:val="00F818ED"/>
    <w:rsid w:val="00F82E01"/>
    <w:rsid w:val="00F91E73"/>
    <w:rsid w:val="00F93D1E"/>
    <w:rsid w:val="00F96BEB"/>
    <w:rsid w:val="00FA3575"/>
    <w:rsid w:val="00FA35C2"/>
    <w:rsid w:val="00FB37D0"/>
    <w:rsid w:val="00FB5B02"/>
    <w:rsid w:val="00FC6CDD"/>
    <w:rsid w:val="00FC704E"/>
    <w:rsid w:val="00FC77F3"/>
    <w:rsid w:val="00FD4627"/>
    <w:rsid w:val="00FE7832"/>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4969">
      <w:bodyDiv w:val="1"/>
      <w:marLeft w:val="0"/>
      <w:marRight w:val="0"/>
      <w:marTop w:val="0"/>
      <w:marBottom w:val="0"/>
      <w:divBdr>
        <w:top w:val="none" w:sz="0" w:space="0" w:color="auto"/>
        <w:left w:val="none" w:sz="0" w:space="0" w:color="auto"/>
        <w:bottom w:val="none" w:sz="0" w:space="0" w:color="auto"/>
        <w:right w:val="none" w:sz="0" w:space="0" w:color="auto"/>
      </w:divBdr>
    </w:div>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0693470">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694619390">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046492689">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19030758">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43960644">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192036784">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07536504">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5685481">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77507807">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2.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3.xml><?xml version="1.0" encoding="utf-8"?>
<ds:datastoreItem xmlns:ds="http://schemas.openxmlformats.org/officeDocument/2006/customXml" ds:itemID="{213715FF-DDEB-4A11-BB11-5ACAD662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122</TotalTime>
  <Pages>3</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24</cp:revision>
  <dcterms:created xsi:type="dcterms:W3CDTF">2025-08-04T10:05:00Z</dcterms:created>
  <dcterms:modified xsi:type="dcterms:W3CDTF">2025-08-08T11:18:00Z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