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AC03F70"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0F7255">
        <w:rPr>
          <w:rStyle w:val="normaltextrun"/>
          <w:rFonts w:ascii="Calibri" w:hAnsi="Calibri" w:cs="Calibri"/>
          <w:sz w:val="22"/>
          <w:szCs w:val="22"/>
        </w:rPr>
        <w:t>17</w:t>
      </w:r>
      <w:r w:rsidR="000F7255" w:rsidRPr="000F7255">
        <w:rPr>
          <w:rStyle w:val="normaltextrun"/>
          <w:rFonts w:ascii="Calibri" w:hAnsi="Calibri" w:cs="Calibri"/>
          <w:sz w:val="22"/>
          <w:szCs w:val="22"/>
          <w:vertAlign w:val="superscript"/>
        </w:rPr>
        <w:t>th</w:t>
      </w:r>
      <w:r w:rsidR="000F7255">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B10031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F7255">
        <w:rPr>
          <w:rStyle w:val="normaltextrun"/>
          <w:rFonts w:ascii="Calibri" w:hAnsi="Calibri" w:cs="Calibri"/>
          <w:b/>
          <w:bCs/>
          <w:color w:val="FF0000"/>
          <w:sz w:val="28"/>
          <w:szCs w:val="28"/>
        </w:rPr>
        <w:t>228</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23AFFBFE" w:rsidR="00C83296" w:rsidRPr="00965D4C"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9B103CD" w14:textId="796ED1C5" w:rsidR="00965D4C" w:rsidRPr="00965D4C" w:rsidRDefault="00965D4C" w:rsidP="00965D4C">
      <w:pPr>
        <w:pStyle w:val="paragraph"/>
        <w:numPr>
          <w:ilvl w:val="0"/>
          <w:numId w:val="39"/>
        </w:numPr>
        <w:textAlignment w:val="baseline"/>
        <w:rPr>
          <w:rFonts w:ascii="Calibri" w:hAnsi="Calibri" w:cs="Calibri"/>
          <w:b/>
          <w:bCs/>
        </w:rPr>
      </w:pPr>
      <w:r w:rsidRPr="00965D4C">
        <w:rPr>
          <w:rFonts w:ascii="Calibri" w:hAnsi="Calibri" w:cs="Calibri"/>
          <w:b/>
          <w:bCs/>
        </w:rPr>
        <w:t>Please let me know what station renovation plans TfW currently has that involve or would impact ticket offices. This should include for example any plans to move ticket offices to kiosks.</w:t>
      </w:r>
    </w:p>
    <w:p w14:paraId="2689993E" w14:textId="6F15C591" w:rsidR="00965D4C" w:rsidRPr="00965D4C" w:rsidRDefault="00965D4C" w:rsidP="00965D4C">
      <w:pPr>
        <w:pStyle w:val="paragraph"/>
        <w:numPr>
          <w:ilvl w:val="0"/>
          <w:numId w:val="39"/>
        </w:numPr>
        <w:textAlignment w:val="baseline"/>
        <w:rPr>
          <w:rFonts w:ascii="Calibri" w:hAnsi="Calibri" w:cs="Calibri"/>
          <w:b/>
          <w:bCs/>
        </w:rPr>
      </w:pPr>
      <w:r w:rsidRPr="00965D4C">
        <w:rPr>
          <w:rFonts w:ascii="Calibri" w:hAnsi="Calibri" w:cs="Calibri"/>
          <w:b/>
          <w:bCs/>
        </w:rPr>
        <w:t>Please also say if TfW has commissioned any design or consultancy work on ticket kiosks since 1 Sep 2024.</w:t>
      </w:r>
    </w:p>
    <w:p w14:paraId="358B2F5D" w14:textId="683B8F6F" w:rsidR="00965D4C" w:rsidRPr="00965D4C" w:rsidRDefault="00965D4C" w:rsidP="00965D4C">
      <w:pPr>
        <w:pStyle w:val="paragraph"/>
        <w:numPr>
          <w:ilvl w:val="0"/>
          <w:numId w:val="39"/>
        </w:numPr>
        <w:textAlignment w:val="baseline"/>
        <w:rPr>
          <w:rFonts w:ascii="Calibri" w:hAnsi="Calibri" w:cs="Calibri"/>
          <w:b/>
          <w:bCs/>
        </w:rPr>
      </w:pPr>
      <w:r w:rsidRPr="00965D4C">
        <w:rPr>
          <w:rFonts w:ascii="Calibri" w:hAnsi="Calibri" w:cs="Calibri"/>
          <w:b/>
          <w:bCs/>
        </w:rPr>
        <w:t>For any planned or underway changes, please say what, where, when and under what regulation and please send the accordant equality impact assessment.</w:t>
      </w:r>
    </w:p>
    <w:p w14:paraId="48227BD8" w14:textId="40743272" w:rsidR="00F447A7" w:rsidRPr="00965D4C" w:rsidRDefault="00965D4C" w:rsidP="00965D4C">
      <w:pPr>
        <w:pStyle w:val="paragraph"/>
        <w:numPr>
          <w:ilvl w:val="0"/>
          <w:numId w:val="39"/>
        </w:numPr>
        <w:textAlignment w:val="baseline"/>
        <w:rPr>
          <w:rFonts w:ascii="Calibri" w:hAnsi="Calibri" w:cs="Calibri"/>
          <w:b/>
          <w:bCs/>
        </w:rPr>
      </w:pPr>
      <w:r w:rsidRPr="00965D4C">
        <w:rPr>
          <w:rFonts w:ascii="Calibri" w:hAnsi="Calibri" w:cs="Calibri"/>
          <w:b/>
          <w:bCs/>
        </w:rPr>
        <w:t>Please also send any Schedule 17 minor change notices submitted by TfW since 1 Sep 2024.</w:t>
      </w: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532437E6" w14:textId="6621A32F" w:rsidR="00C83296" w:rsidRPr="00965D4C" w:rsidRDefault="00965D4C" w:rsidP="00C83296">
      <w:pPr>
        <w:spacing w:after="0" w:line="240" w:lineRule="auto"/>
        <w:rPr>
          <w:u w:val="single"/>
        </w:rPr>
      </w:pPr>
      <w:r w:rsidRPr="00965D4C">
        <w:rPr>
          <w:u w:val="single"/>
        </w:rPr>
        <w:t>Question 1</w:t>
      </w:r>
    </w:p>
    <w:p w14:paraId="7FF749CB" w14:textId="77777777" w:rsidR="009714B7" w:rsidRDefault="009714B7" w:rsidP="00C83296">
      <w:pPr>
        <w:spacing w:after="0" w:line="240" w:lineRule="auto"/>
      </w:pPr>
    </w:p>
    <w:p w14:paraId="0C6816A0" w14:textId="6F68CAB4" w:rsidR="00965D4C" w:rsidRPr="00965D4C" w:rsidRDefault="00965D4C" w:rsidP="00965D4C">
      <w:pPr>
        <w:spacing w:after="0" w:line="240" w:lineRule="auto"/>
      </w:pPr>
      <w:r w:rsidRPr="00965D4C">
        <w:t xml:space="preserve">There are plans to introduce a new ticket office at Chester station. </w:t>
      </w:r>
    </w:p>
    <w:p w14:paraId="0999DF52" w14:textId="77777777" w:rsidR="00965D4C" w:rsidRDefault="00965D4C" w:rsidP="00C83296">
      <w:pPr>
        <w:spacing w:after="0" w:line="240" w:lineRule="auto"/>
      </w:pPr>
    </w:p>
    <w:p w14:paraId="3254A588" w14:textId="00F4D5DA" w:rsidR="002D4AB9" w:rsidRPr="002D4AB9" w:rsidRDefault="002D4AB9" w:rsidP="00C83296">
      <w:pPr>
        <w:spacing w:after="0" w:line="240" w:lineRule="auto"/>
        <w:rPr>
          <w:u w:val="single"/>
        </w:rPr>
      </w:pPr>
      <w:r w:rsidRPr="002D4AB9">
        <w:rPr>
          <w:u w:val="single"/>
        </w:rPr>
        <w:t>Question 2</w:t>
      </w:r>
    </w:p>
    <w:p w14:paraId="6B653D5A" w14:textId="77777777" w:rsidR="009714B7" w:rsidRDefault="009714B7" w:rsidP="00C83296">
      <w:pPr>
        <w:spacing w:after="0" w:line="240" w:lineRule="auto"/>
      </w:pPr>
    </w:p>
    <w:p w14:paraId="0D2821A6" w14:textId="2791DADB" w:rsidR="002D4AB9" w:rsidRPr="00C83296" w:rsidRDefault="002D4AB9" w:rsidP="00C83296">
      <w:pPr>
        <w:spacing w:after="0" w:line="240" w:lineRule="auto"/>
      </w:pPr>
      <w:r w:rsidRPr="00965D4C">
        <w:t xml:space="preserve">The design </w:t>
      </w:r>
      <w:r>
        <w:t xml:space="preserve">for Chester </w:t>
      </w:r>
      <w:r w:rsidRPr="00965D4C">
        <w:t>was commissioned prior to 1 Sept 2024 however there have been some design alterations this year.  The new ticket office is awaiting Listed Building Consent and once secured, works will commence. The existing ticket office will be converted to a commercial unit.</w:t>
      </w:r>
    </w:p>
    <w:p w14:paraId="2F8144AD" w14:textId="77777777" w:rsidR="00C83296" w:rsidRPr="00C83296" w:rsidRDefault="00C83296" w:rsidP="00C83296">
      <w:pPr>
        <w:spacing w:after="0" w:line="240" w:lineRule="auto"/>
      </w:pPr>
    </w:p>
    <w:p w14:paraId="279A84A4" w14:textId="1FE496D1" w:rsidR="00C83296" w:rsidRDefault="002D4AB9" w:rsidP="156E0B0A">
      <w:pPr>
        <w:spacing w:after="0" w:line="240" w:lineRule="auto"/>
        <w:rPr>
          <w:u w:val="single"/>
        </w:rPr>
      </w:pPr>
      <w:r w:rsidRPr="002D4AB9">
        <w:rPr>
          <w:u w:val="single"/>
        </w:rPr>
        <w:t>Question 3</w:t>
      </w:r>
    </w:p>
    <w:p w14:paraId="709B4459" w14:textId="77777777" w:rsidR="002D4AB9" w:rsidRDefault="002D4AB9" w:rsidP="156E0B0A">
      <w:pPr>
        <w:spacing w:after="0" w:line="240" w:lineRule="auto"/>
        <w:rPr>
          <w:u w:val="single"/>
        </w:rPr>
      </w:pPr>
    </w:p>
    <w:p w14:paraId="22B5A58D" w14:textId="4471AA57" w:rsidR="002D4AB9" w:rsidRDefault="002D4AB9" w:rsidP="156E0B0A">
      <w:pPr>
        <w:spacing w:after="0" w:line="240" w:lineRule="auto"/>
      </w:pPr>
      <w:r w:rsidRPr="00965D4C">
        <w:t>An Equality Impact Assessment was produced in 2022 covering the wider station improvements but features the new ticket office.</w:t>
      </w:r>
      <w:r>
        <w:t xml:space="preserve"> Please see attached.</w:t>
      </w:r>
    </w:p>
    <w:p w14:paraId="4748AB7C" w14:textId="77777777" w:rsidR="002D4AB9" w:rsidRDefault="002D4AB9" w:rsidP="156E0B0A">
      <w:pPr>
        <w:spacing w:after="0" w:line="240" w:lineRule="auto"/>
      </w:pPr>
    </w:p>
    <w:p w14:paraId="53D08869" w14:textId="3A0D4D64" w:rsidR="002D4AB9" w:rsidRDefault="002D4AB9" w:rsidP="156E0B0A">
      <w:pPr>
        <w:spacing w:after="0" w:line="240" w:lineRule="auto"/>
        <w:rPr>
          <w:u w:val="single"/>
        </w:rPr>
      </w:pPr>
      <w:r w:rsidRPr="002D4AB9">
        <w:rPr>
          <w:u w:val="single"/>
        </w:rPr>
        <w:t>Question 4</w:t>
      </w:r>
    </w:p>
    <w:p w14:paraId="70029643" w14:textId="77777777" w:rsidR="002D4AB9" w:rsidRDefault="002D4AB9" w:rsidP="156E0B0A">
      <w:pPr>
        <w:spacing w:after="0" w:line="240" w:lineRule="auto"/>
        <w:rPr>
          <w:u w:val="single"/>
        </w:rPr>
      </w:pPr>
    </w:p>
    <w:p w14:paraId="431D5FE5" w14:textId="77777777" w:rsidR="002D4AB9" w:rsidRPr="00965D4C" w:rsidRDefault="002D4AB9" w:rsidP="002D4AB9">
      <w:pPr>
        <w:spacing w:after="0" w:line="240" w:lineRule="auto"/>
      </w:pPr>
      <w:r w:rsidRPr="00965D4C">
        <w:t xml:space="preserve">There </w:t>
      </w:r>
      <w:proofErr w:type="gramStart"/>
      <w:r w:rsidRPr="00965D4C">
        <w:t>is</w:t>
      </w:r>
      <w:proofErr w:type="gramEnd"/>
      <w:r w:rsidRPr="00965D4C">
        <w:t xml:space="preserve"> no Schedule 17 change notices planned as part of these works. </w:t>
      </w:r>
    </w:p>
    <w:p w14:paraId="209D06DF" w14:textId="77777777" w:rsidR="002D4AB9" w:rsidRDefault="002D4AB9" w:rsidP="156E0B0A">
      <w:pPr>
        <w:spacing w:after="0" w:line="240" w:lineRule="auto"/>
        <w:rPr>
          <w:u w:val="single"/>
        </w:rPr>
      </w:pPr>
    </w:p>
    <w:p w14:paraId="1127A563" w14:textId="02D7BF77" w:rsidR="000F7255" w:rsidRDefault="000F7255" w:rsidP="000F7255">
      <w:pPr>
        <w:spacing w:after="0" w:line="240" w:lineRule="auto"/>
      </w:pPr>
      <w:r>
        <w:t>In relation to the redactions</w:t>
      </w:r>
      <w:r>
        <w:t xml:space="preserve"> in the attached document,</w:t>
      </w:r>
      <w:r>
        <w:t xml:space="preserve"> these have been made by virtue of the following exemption -</w:t>
      </w:r>
    </w:p>
    <w:p w14:paraId="3900757F" w14:textId="77777777" w:rsidR="000F7255" w:rsidRDefault="000F7255" w:rsidP="000F7255">
      <w:pPr>
        <w:spacing w:after="0" w:line="240" w:lineRule="auto"/>
      </w:pPr>
    </w:p>
    <w:p w14:paraId="61A85B42" w14:textId="77777777" w:rsidR="000F7255" w:rsidRPr="001F4561" w:rsidRDefault="000F7255" w:rsidP="000F7255">
      <w:pPr>
        <w:spacing w:after="0"/>
        <w:rPr>
          <w:rFonts w:cstheme="minorHAnsi"/>
          <w:b/>
          <w:bCs/>
        </w:rPr>
      </w:pPr>
      <w:r w:rsidRPr="001F4561">
        <w:rPr>
          <w:b/>
          <w:bCs/>
        </w:rPr>
        <w:t>Section 40(2</w:t>
      </w:r>
      <w:r w:rsidRPr="001F4561">
        <w:rPr>
          <w:rFonts w:cstheme="minorHAnsi"/>
          <w:b/>
          <w:bCs/>
        </w:rPr>
        <w:t>) – Personal Information</w:t>
      </w:r>
    </w:p>
    <w:p w14:paraId="12C1CFD1" w14:textId="77777777" w:rsidR="000F7255" w:rsidRDefault="000F7255" w:rsidP="000F7255">
      <w:pPr>
        <w:spacing w:after="0"/>
        <w:rPr>
          <w:rFonts w:cstheme="minorHAnsi"/>
        </w:rPr>
      </w:pPr>
    </w:p>
    <w:p w14:paraId="304E3A6D" w14:textId="77777777" w:rsidR="000F7255" w:rsidRDefault="000F7255" w:rsidP="000F7255">
      <w:pPr>
        <w:spacing w:after="0"/>
        <w:rPr>
          <w:rFonts w:cstheme="minorHAnsi"/>
        </w:rPr>
      </w:pPr>
      <w:r>
        <w:rPr>
          <w:rFonts w:cstheme="minorHAnsi"/>
        </w:rPr>
        <w:t>Under this exemption, personal data should not be disclosed if this would contravene the data protection principles.</w:t>
      </w:r>
    </w:p>
    <w:p w14:paraId="44243599" w14:textId="77777777" w:rsidR="000F7255" w:rsidRDefault="000F7255" w:rsidP="000F7255">
      <w:pPr>
        <w:spacing w:after="0"/>
        <w:rPr>
          <w:rFonts w:cstheme="minorHAnsi"/>
        </w:rPr>
      </w:pPr>
    </w:p>
    <w:p w14:paraId="3C290BCB" w14:textId="77777777" w:rsidR="000F7255" w:rsidRDefault="000F7255" w:rsidP="000F7255">
      <w:pPr>
        <w:spacing w:after="0"/>
        <w:rPr>
          <w:rFonts w:cstheme="minorHAnsi"/>
        </w:rPr>
      </w:pPr>
      <w:r>
        <w:rPr>
          <w:rFonts w:cstheme="minorHAnsi"/>
        </w:rPr>
        <w:t xml:space="preserve">Personal data is defined by the General Data Protection Regulations (GDPR) as follows - </w:t>
      </w:r>
    </w:p>
    <w:p w14:paraId="0DB64317" w14:textId="77777777" w:rsidR="000F7255" w:rsidRDefault="000F7255" w:rsidP="000F7255">
      <w:pPr>
        <w:spacing w:after="0"/>
        <w:rPr>
          <w:rFonts w:cstheme="minorHAnsi"/>
        </w:rPr>
      </w:pPr>
    </w:p>
    <w:p w14:paraId="243882C1" w14:textId="77777777" w:rsidR="000F7255" w:rsidRDefault="000F7255" w:rsidP="000F7255">
      <w:pPr>
        <w:spacing w:after="0"/>
        <w:rPr>
          <w:rFonts w:cstheme="minorHAnsi"/>
          <w:b/>
          <w:bCs/>
          <w:color w:val="000000"/>
          <w:shd w:val="clear" w:color="auto" w:fill="F7F3F0"/>
        </w:rPr>
      </w:pPr>
      <w:r>
        <w:rPr>
          <w:rFonts w:cstheme="minorHAnsi"/>
          <w:b/>
          <w:bCs/>
        </w:rPr>
        <w:lastRenderedPageBreak/>
        <w:t xml:space="preserve"> </w:t>
      </w:r>
      <w:r>
        <w:rPr>
          <w:rFonts w:cstheme="minorHAnsi"/>
          <w:b/>
          <w:bCs/>
          <w:color w:val="000000"/>
          <w:highlight w:val="lightGray"/>
          <w:shd w:val="clear" w:color="auto" w:fill="F7F3F0"/>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6FCDED6" w14:textId="77777777" w:rsidR="000F7255" w:rsidRDefault="000F7255" w:rsidP="000F7255">
      <w:pPr>
        <w:pStyle w:val="NormalWeb"/>
        <w:shd w:val="clear" w:color="auto" w:fill="FFFFFF"/>
        <w:spacing w:before="0" w:beforeAutospacing="0" w:after="0" w:afterAutospacing="0"/>
        <w:rPr>
          <w:rStyle w:val="Strong"/>
          <w:rFonts w:ascii="Arial" w:hAnsi="Arial" w:cs="Arial"/>
          <w:color w:val="111111"/>
          <w:sz w:val="21"/>
          <w:szCs w:val="21"/>
        </w:rPr>
      </w:pPr>
    </w:p>
    <w:p w14:paraId="4DFD7E79" w14:textId="77777777" w:rsidR="000F7255" w:rsidRDefault="000F7255" w:rsidP="000F7255">
      <w:pPr>
        <w:pStyle w:val="NormalWeb"/>
        <w:shd w:val="clear" w:color="auto" w:fill="FFFFFF"/>
        <w:spacing w:before="0" w:beforeAutospacing="0" w:after="0" w:afterAutospacing="0"/>
        <w:rPr>
          <w:rStyle w:val="Strong"/>
          <w:rFonts w:ascii="Arial" w:hAnsi="Arial" w:cs="Arial"/>
          <w:b w:val="0"/>
          <w:bCs w:val="0"/>
          <w:color w:val="111111"/>
          <w:sz w:val="21"/>
          <w:szCs w:val="21"/>
        </w:rPr>
      </w:pPr>
      <w:r>
        <w:rPr>
          <w:rStyle w:val="Strong"/>
          <w:rFonts w:ascii="Arial" w:hAnsi="Arial" w:cs="Arial"/>
          <w:color w:val="111111"/>
          <w:sz w:val="21"/>
          <w:szCs w:val="21"/>
        </w:rPr>
        <w:t>ICO guidance states the following –</w:t>
      </w:r>
    </w:p>
    <w:p w14:paraId="10E9D3C8" w14:textId="77777777" w:rsidR="000F7255" w:rsidRDefault="000F7255" w:rsidP="000F7255">
      <w:pPr>
        <w:pStyle w:val="NormalWeb"/>
        <w:shd w:val="clear" w:color="auto" w:fill="FFFFFF"/>
        <w:spacing w:before="0" w:beforeAutospacing="0" w:after="0" w:afterAutospacing="0"/>
        <w:rPr>
          <w:rStyle w:val="Strong"/>
          <w:b w:val="0"/>
          <w:bCs w:val="0"/>
          <w:color w:val="111111"/>
        </w:rPr>
      </w:pPr>
    </w:p>
    <w:p w14:paraId="756E61BD" w14:textId="77777777" w:rsidR="000F7255" w:rsidRDefault="000F7255" w:rsidP="000F7255">
      <w:pPr>
        <w:pStyle w:val="NormalWeb"/>
        <w:shd w:val="clear" w:color="auto" w:fill="FFFFFF"/>
        <w:spacing w:before="0" w:beforeAutospacing="0" w:after="0" w:afterAutospacing="0"/>
        <w:rPr>
          <w:b/>
          <w:bCs/>
          <w:highlight w:val="lightGray"/>
        </w:rPr>
      </w:pPr>
      <w:r>
        <w:rPr>
          <w:b/>
          <w:bCs/>
          <w:highlight w:val="lightGray"/>
        </w:rPr>
        <w:t xml:space="preserve">When a public authority receives a request for information that constitutes personal data about its employees, it must decide whether disclosure would breach Principle 1 of the Data Protection Act (the DPA), </w:t>
      </w:r>
      <w:proofErr w:type="spellStart"/>
      <w:r>
        <w:rPr>
          <w:b/>
          <w:bCs/>
          <w:highlight w:val="lightGray"/>
        </w:rPr>
        <w:t>ie</w:t>
      </w:r>
      <w:proofErr w:type="spellEnd"/>
      <w:r>
        <w:rPr>
          <w:b/>
          <w:bCs/>
          <w:highlight w:val="lightGray"/>
        </w:rPr>
        <w:t xml:space="preserve"> whether it would be fair and lawful to disclose the information. Whether the disclosure is fair will depend on </w:t>
      </w:r>
      <w:proofErr w:type="gramStart"/>
      <w:r>
        <w:rPr>
          <w:b/>
          <w:bCs/>
          <w:highlight w:val="lightGray"/>
        </w:rPr>
        <w:t>a number of</w:t>
      </w:r>
      <w:proofErr w:type="gramEnd"/>
      <w:r>
        <w:rPr>
          <w:b/>
          <w:bCs/>
          <w:highlight w:val="lightGray"/>
        </w:rPr>
        <w:t xml:space="preserve"> factors including:</w:t>
      </w:r>
    </w:p>
    <w:p w14:paraId="26A897CF" w14:textId="77777777" w:rsidR="000F7255" w:rsidRDefault="000F7255" w:rsidP="000F7255">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whether it is sensitive personal </w:t>
      </w:r>
      <w:proofErr w:type="gramStart"/>
      <w:r>
        <w:rPr>
          <w:b/>
          <w:bCs/>
          <w:highlight w:val="lightGray"/>
        </w:rPr>
        <w:t>data;</w:t>
      </w:r>
      <w:proofErr w:type="gramEnd"/>
    </w:p>
    <w:p w14:paraId="2CD49553" w14:textId="77777777" w:rsidR="000F7255" w:rsidRDefault="000F7255" w:rsidP="000F7255">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consequences of </w:t>
      </w:r>
      <w:proofErr w:type="gramStart"/>
      <w:r>
        <w:rPr>
          <w:b/>
          <w:bCs/>
          <w:highlight w:val="lightGray"/>
        </w:rPr>
        <w:t>disclosure;</w:t>
      </w:r>
      <w:proofErr w:type="gramEnd"/>
    </w:p>
    <w:p w14:paraId="727162AC" w14:textId="77777777" w:rsidR="000F7255" w:rsidRDefault="000F7255" w:rsidP="000F7255">
      <w:pPr>
        <w:pStyle w:val="NormalWeb"/>
        <w:shd w:val="clear" w:color="auto" w:fill="FFFFFF"/>
        <w:spacing w:before="0" w:beforeAutospacing="0" w:after="0" w:afterAutospacing="0"/>
        <w:rPr>
          <w:b/>
          <w:bCs/>
          <w:highlight w:val="lightGray"/>
        </w:rPr>
      </w:pPr>
      <w:r>
        <w:rPr>
          <w:b/>
          <w:bCs/>
          <w:highlight w:val="lightGray"/>
        </w:rPr>
        <w:t xml:space="preserve"> </w:t>
      </w:r>
      <w:r>
        <w:rPr>
          <w:b/>
          <w:bCs/>
          <w:highlight w:val="lightGray"/>
        </w:rPr>
        <w:sym w:font="Symbol" w:char="F0B7"/>
      </w:r>
      <w:r>
        <w:rPr>
          <w:b/>
          <w:bCs/>
          <w:highlight w:val="lightGray"/>
        </w:rPr>
        <w:t xml:space="preserve"> the reasonable expectations of the employees; and </w:t>
      </w:r>
    </w:p>
    <w:p w14:paraId="02E3524E" w14:textId="77777777" w:rsidR="000F7255" w:rsidRDefault="000F7255" w:rsidP="000F7255">
      <w:pPr>
        <w:pStyle w:val="NormalWeb"/>
        <w:shd w:val="clear" w:color="auto" w:fill="FFFFFF"/>
        <w:spacing w:before="0" w:beforeAutospacing="0" w:after="0" w:afterAutospacing="0"/>
        <w:rPr>
          <w:b/>
          <w:bCs/>
        </w:rPr>
      </w:pPr>
      <w:r>
        <w:rPr>
          <w:b/>
          <w:bCs/>
          <w:highlight w:val="lightGray"/>
        </w:rPr>
        <w:sym w:font="Symbol" w:char="F0B7"/>
      </w:r>
      <w:r>
        <w:rPr>
          <w:b/>
          <w:bCs/>
          <w:highlight w:val="lightGray"/>
        </w:rPr>
        <w:t xml:space="preserve"> whether there is a legitimate interest in the public or requester having access to the information and the balance between this and the rights and freedoms of the data subjects.</w:t>
      </w:r>
    </w:p>
    <w:p w14:paraId="65D92A83" w14:textId="77777777" w:rsidR="000F7255" w:rsidRDefault="000F7255" w:rsidP="000F7255">
      <w:pPr>
        <w:pStyle w:val="NormalWeb"/>
        <w:shd w:val="clear" w:color="auto" w:fill="FFFFFF"/>
        <w:spacing w:before="0" w:beforeAutospacing="0" w:after="0" w:afterAutospacing="0"/>
        <w:rPr>
          <w:rFonts w:asciiTheme="minorHAnsi" w:hAnsiTheme="minorHAnsi" w:cstheme="minorHAnsi"/>
          <w:i/>
          <w:iCs/>
        </w:rPr>
      </w:pPr>
    </w:p>
    <w:p w14:paraId="5740DBED" w14:textId="77777777" w:rsidR="000F7255" w:rsidRPr="00922818" w:rsidRDefault="000F7255" w:rsidP="000F7255">
      <w:pPr>
        <w:pStyle w:val="NormalWeb"/>
        <w:shd w:val="clear" w:color="auto" w:fill="FFFFFF"/>
        <w:spacing w:before="0" w:beforeAutospacing="0" w:after="0" w:afterAutospacing="0"/>
        <w:rPr>
          <w:rStyle w:val="Strong"/>
          <w:b w:val="0"/>
          <w:bCs w:val="0"/>
          <w:color w:val="111111"/>
        </w:rPr>
      </w:pPr>
      <w:r w:rsidRPr="00922818">
        <w:rPr>
          <w:rStyle w:val="Strong"/>
          <w:b w:val="0"/>
          <w:bCs w:val="0"/>
          <w:color w:val="111111"/>
        </w:rPr>
        <w:t xml:space="preserve">In this case, we have identified that </w:t>
      </w:r>
      <w:r>
        <w:rPr>
          <w:rStyle w:val="Strong"/>
          <w:b w:val="0"/>
          <w:bCs w:val="0"/>
          <w:color w:val="111111"/>
        </w:rPr>
        <w:t>names and signatures</w:t>
      </w:r>
      <w:r w:rsidRPr="00922818">
        <w:rPr>
          <w:rStyle w:val="Strong"/>
          <w:b w:val="0"/>
          <w:bCs w:val="0"/>
          <w:color w:val="111111"/>
        </w:rPr>
        <w:t xml:space="preserve"> </w:t>
      </w:r>
      <w:r>
        <w:rPr>
          <w:rStyle w:val="Strong"/>
          <w:b w:val="0"/>
          <w:bCs w:val="0"/>
          <w:color w:val="111111"/>
        </w:rPr>
        <w:t>are</w:t>
      </w:r>
      <w:r w:rsidRPr="00922818">
        <w:rPr>
          <w:rStyle w:val="Strong"/>
          <w:b w:val="0"/>
          <w:bCs w:val="0"/>
          <w:color w:val="111111"/>
        </w:rPr>
        <w:t xml:space="preserve"> personal data AND the release of th</w:t>
      </w:r>
      <w:r>
        <w:rPr>
          <w:rStyle w:val="Strong"/>
          <w:b w:val="0"/>
          <w:bCs w:val="0"/>
          <w:color w:val="111111"/>
        </w:rPr>
        <w:t>is information</w:t>
      </w:r>
      <w:r w:rsidRPr="00922818">
        <w:rPr>
          <w:rStyle w:val="Strong"/>
          <w:b w:val="0"/>
          <w:bCs w:val="0"/>
          <w:color w:val="111111"/>
        </w:rPr>
        <w:t xml:space="preserve"> WOULD contravene the first principle of the DPA.</w:t>
      </w:r>
    </w:p>
    <w:p w14:paraId="6E41F8FF" w14:textId="77777777" w:rsidR="000F7255" w:rsidRDefault="000F7255" w:rsidP="000F7255">
      <w:pPr>
        <w:pStyle w:val="NormalWeb"/>
        <w:shd w:val="clear" w:color="auto" w:fill="FFFFFF"/>
        <w:spacing w:before="0" w:beforeAutospacing="0" w:after="0" w:afterAutospacing="0"/>
        <w:rPr>
          <w:rStyle w:val="Strong"/>
          <w:b w:val="0"/>
          <w:bCs w:val="0"/>
          <w:color w:val="111111"/>
        </w:rPr>
      </w:pPr>
    </w:p>
    <w:p w14:paraId="73FA5009" w14:textId="77777777" w:rsidR="000F7255" w:rsidRDefault="000F7255" w:rsidP="000F7255">
      <w:pPr>
        <w:pStyle w:val="NormalWeb"/>
        <w:shd w:val="clear" w:color="auto" w:fill="FFFFFF"/>
        <w:spacing w:before="0" w:beforeAutospacing="0" w:after="0" w:afterAutospacing="0"/>
      </w:pPr>
      <w:r>
        <w:t xml:space="preserve">It is important to remember that disclosure of personal information under the FOI is to “the world at large”. </w:t>
      </w:r>
    </w:p>
    <w:p w14:paraId="64DD5DC8" w14:textId="77777777" w:rsidR="000F7255" w:rsidRDefault="000F7255" w:rsidP="000F7255">
      <w:pPr>
        <w:pStyle w:val="NormalWeb"/>
        <w:shd w:val="clear" w:color="auto" w:fill="FFFFFF"/>
        <w:spacing w:before="0" w:beforeAutospacing="0" w:after="0" w:afterAutospacing="0"/>
      </w:pPr>
      <w:r>
        <w:t>The key question when it comes to disclosing personal information, is what is the harm that will arise from disclosure.</w:t>
      </w:r>
    </w:p>
    <w:p w14:paraId="1B63ACE2" w14:textId="77777777" w:rsidR="000F7255" w:rsidRDefault="000F7255" w:rsidP="000F7255">
      <w:pPr>
        <w:pStyle w:val="NormalWeb"/>
        <w:shd w:val="clear" w:color="auto" w:fill="FFFFFF"/>
        <w:spacing w:before="0" w:beforeAutospacing="0" w:after="0" w:afterAutospacing="0"/>
        <w:rPr>
          <w:rFonts w:ascii="Arial" w:hAnsi="Arial" w:cs="Arial"/>
          <w:color w:val="555555"/>
          <w:sz w:val="21"/>
          <w:szCs w:val="21"/>
        </w:rPr>
      </w:pPr>
    </w:p>
    <w:p w14:paraId="59EC0ACE" w14:textId="77777777" w:rsidR="000F7255" w:rsidRPr="007774EE" w:rsidRDefault="000F7255" w:rsidP="000F7255">
      <w:pPr>
        <w:spacing w:after="0"/>
        <w:rPr>
          <w:rFonts w:cstheme="minorHAnsi"/>
        </w:rPr>
      </w:pPr>
      <w:r>
        <w:rPr>
          <w:rFonts w:cstheme="minorHAnsi"/>
        </w:rPr>
        <w:t>The individuals in question would not have any expectation that this information would be released into the public domain.</w:t>
      </w:r>
    </w:p>
    <w:p w14:paraId="0792432C" w14:textId="77777777" w:rsidR="000F7255" w:rsidRPr="002D4AB9" w:rsidRDefault="000F7255" w:rsidP="156E0B0A">
      <w:pPr>
        <w:spacing w:after="0" w:line="240" w:lineRule="auto"/>
        <w:rPr>
          <w:u w:val="single"/>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D1853"/>
    <w:multiLevelType w:val="hybridMultilevel"/>
    <w:tmpl w:val="C2A6E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6027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0F7255"/>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D4AB9"/>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3652E"/>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65D4C"/>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13B80-8D09-49FB-9CAD-07E31D6E3B24}"/>
</file>

<file path=customXml/itemProps2.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2877</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2025-09-17T09:40:00Z</dcterms:created>
  <dcterms:modified xsi:type="dcterms:W3CDTF">2025-09-17T09:40:00Z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