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008756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A0498B" w:rsidRPr="00A0498B">
        <w:rPr>
          <w:rStyle w:val="normaltextrun"/>
          <w:rFonts w:ascii="Calibri" w:hAnsi="Calibri" w:cs="Calibri"/>
          <w:sz w:val="22"/>
          <w:szCs w:val="22"/>
        </w:rPr>
        <w:t>2</w:t>
      </w:r>
      <w:r w:rsidR="00A0498B" w:rsidRPr="00A0498B">
        <w:rPr>
          <w:rStyle w:val="normaltextrun"/>
          <w:rFonts w:ascii="Calibri" w:hAnsi="Calibri" w:cs="Calibri"/>
          <w:sz w:val="22"/>
          <w:szCs w:val="22"/>
          <w:vertAlign w:val="superscript"/>
        </w:rPr>
        <w:t>nd</w:t>
      </w:r>
      <w:r w:rsidR="00622FE7" w:rsidRPr="00A0498B">
        <w:rPr>
          <w:rStyle w:val="normaltextrun"/>
          <w:rFonts w:ascii="Calibri" w:hAnsi="Calibri" w:cs="Calibri"/>
          <w:sz w:val="22"/>
          <w:szCs w:val="22"/>
        </w:rPr>
        <w:t xml:space="preserve"> of </w:t>
      </w:r>
      <w:r w:rsidR="00FF0065" w:rsidRPr="00A0498B">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BFD1CA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05B43">
        <w:rPr>
          <w:rStyle w:val="normaltextrun"/>
          <w:rFonts w:ascii="Calibri" w:hAnsi="Calibri" w:cs="Calibri"/>
          <w:b/>
          <w:bCs/>
          <w:color w:val="FF0000"/>
          <w:sz w:val="28"/>
          <w:szCs w:val="28"/>
        </w:rPr>
        <w:t>252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67EB6AB3" w14:textId="77777777" w:rsidR="00005B43" w:rsidRPr="00005B43" w:rsidRDefault="00005B43" w:rsidP="00005B43">
      <w:pPr>
        <w:spacing w:after="0" w:line="240" w:lineRule="auto"/>
        <w:rPr>
          <w:b/>
          <w:bCs/>
        </w:rPr>
      </w:pPr>
      <w:r w:rsidRPr="00005B43">
        <w:rPr>
          <w:b/>
          <w:bCs/>
        </w:rPr>
        <w:t xml:space="preserve">I would like information please about the rail replacement bus service which operates between Treherbert, </w:t>
      </w:r>
      <w:proofErr w:type="spellStart"/>
      <w:r w:rsidRPr="00005B43">
        <w:rPr>
          <w:b/>
          <w:bCs/>
        </w:rPr>
        <w:t>Ynyswen</w:t>
      </w:r>
      <w:proofErr w:type="spellEnd"/>
      <w:r w:rsidRPr="00005B43">
        <w:rPr>
          <w:b/>
          <w:bCs/>
        </w:rPr>
        <w:t xml:space="preserve"> and Treorchy.</w:t>
      </w:r>
    </w:p>
    <w:p w14:paraId="4D6939A8" w14:textId="77777777" w:rsidR="00005B43" w:rsidRPr="00005B43" w:rsidRDefault="00005B43" w:rsidP="00005B43">
      <w:pPr>
        <w:spacing w:after="0" w:line="240" w:lineRule="auto"/>
        <w:rPr>
          <w:b/>
          <w:bCs/>
        </w:rPr>
      </w:pPr>
    </w:p>
    <w:p w14:paraId="58D5B9B2" w14:textId="77777777" w:rsidR="00005B43" w:rsidRPr="00005B43" w:rsidRDefault="00005B43" w:rsidP="00005B43">
      <w:pPr>
        <w:spacing w:after="0" w:line="240" w:lineRule="auto"/>
        <w:rPr>
          <w:b/>
          <w:bCs/>
        </w:rPr>
      </w:pPr>
      <w:r w:rsidRPr="00005B43">
        <w:rPr>
          <w:b/>
          <w:bCs/>
        </w:rPr>
        <w:t>The information I am requesting is:</w:t>
      </w:r>
    </w:p>
    <w:p w14:paraId="1A41CF70" w14:textId="77777777" w:rsidR="00005B43" w:rsidRPr="00005B43" w:rsidRDefault="00005B43" w:rsidP="00005B43">
      <w:pPr>
        <w:spacing w:after="0" w:line="240" w:lineRule="auto"/>
        <w:rPr>
          <w:b/>
          <w:bCs/>
        </w:rPr>
      </w:pPr>
    </w:p>
    <w:p w14:paraId="69BFB322" w14:textId="77777777" w:rsidR="00005B43" w:rsidRPr="00005B43" w:rsidRDefault="00005B43" w:rsidP="00005B43">
      <w:pPr>
        <w:pStyle w:val="ListParagraph"/>
        <w:numPr>
          <w:ilvl w:val="0"/>
          <w:numId w:val="39"/>
        </w:numPr>
        <w:rPr>
          <w:b/>
          <w:bCs/>
        </w:rPr>
      </w:pPr>
      <w:r w:rsidRPr="00005B43">
        <w:rPr>
          <w:b/>
          <w:bCs/>
        </w:rPr>
        <w:t>The number of passenger journeys made using the replacement bus service in April, May, June, July and August this year (please provide a number for each month separately</w:t>
      </w:r>
      <w:proofErr w:type="gramStart"/>
      <w:r w:rsidRPr="00005B43">
        <w:rPr>
          <w:b/>
          <w:bCs/>
        </w:rPr>
        <w:t>);</w:t>
      </w:r>
      <w:proofErr w:type="gramEnd"/>
    </w:p>
    <w:p w14:paraId="7A480912" w14:textId="77777777" w:rsidR="00005B43" w:rsidRPr="00005B43" w:rsidRDefault="00005B43" w:rsidP="00005B43">
      <w:pPr>
        <w:spacing w:after="0" w:line="240" w:lineRule="auto"/>
        <w:rPr>
          <w:b/>
          <w:bCs/>
        </w:rPr>
      </w:pPr>
    </w:p>
    <w:p w14:paraId="3891030E" w14:textId="77777777" w:rsidR="00005B43" w:rsidRPr="00005B43" w:rsidRDefault="00005B43" w:rsidP="00005B43">
      <w:pPr>
        <w:pStyle w:val="ListParagraph"/>
        <w:numPr>
          <w:ilvl w:val="0"/>
          <w:numId w:val="39"/>
        </w:numPr>
        <w:rPr>
          <w:b/>
          <w:bCs/>
        </w:rPr>
      </w:pPr>
      <w:r w:rsidRPr="00005B43">
        <w:rPr>
          <w:b/>
          <w:bCs/>
        </w:rPr>
        <w:t xml:space="preserve">The cost of the contract for providing the replacement bus service in April, May, June, July and August this </w:t>
      </w:r>
      <w:proofErr w:type="gramStart"/>
      <w:r w:rsidRPr="00005B43">
        <w:rPr>
          <w:b/>
          <w:bCs/>
        </w:rPr>
        <w:t>year;</w:t>
      </w:r>
      <w:proofErr w:type="gramEnd"/>
    </w:p>
    <w:p w14:paraId="2E2F1251" w14:textId="77777777" w:rsidR="00005B43" w:rsidRPr="00005B43" w:rsidRDefault="00005B43" w:rsidP="00005B43">
      <w:pPr>
        <w:spacing w:after="0" w:line="240" w:lineRule="auto"/>
        <w:rPr>
          <w:b/>
          <w:bCs/>
        </w:rPr>
      </w:pPr>
    </w:p>
    <w:p w14:paraId="5EDE8C49" w14:textId="77777777" w:rsidR="00005B43" w:rsidRPr="00005B43" w:rsidRDefault="00005B43" w:rsidP="00005B43">
      <w:pPr>
        <w:pStyle w:val="ListParagraph"/>
        <w:numPr>
          <w:ilvl w:val="0"/>
          <w:numId w:val="39"/>
        </w:numPr>
        <w:rPr>
          <w:b/>
          <w:bCs/>
        </w:rPr>
      </w:pPr>
      <w:r w:rsidRPr="00005B43">
        <w:rPr>
          <w:b/>
          <w:bCs/>
        </w:rPr>
        <w:t>The cost of provision of ticket selling/revenue protection staff for the replacement bus service in April, May, June, July and August this year; and</w:t>
      </w:r>
    </w:p>
    <w:p w14:paraId="1AB8A4B6" w14:textId="03930D20" w:rsidR="00005B43" w:rsidRPr="00005B43" w:rsidRDefault="00005B43" w:rsidP="00005B43">
      <w:pPr>
        <w:spacing w:after="0" w:line="240" w:lineRule="auto"/>
        <w:ind w:firstLine="50"/>
        <w:rPr>
          <w:b/>
          <w:bCs/>
        </w:rPr>
      </w:pPr>
    </w:p>
    <w:p w14:paraId="39597E37" w14:textId="1E47601B" w:rsidR="00005B43" w:rsidRPr="00005B43" w:rsidRDefault="00005B43" w:rsidP="00005B43">
      <w:pPr>
        <w:pStyle w:val="ListParagraph"/>
        <w:numPr>
          <w:ilvl w:val="0"/>
          <w:numId w:val="39"/>
        </w:numPr>
        <w:rPr>
          <w:b/>
          <w:bCs/>
        </w:rPr>
      </w:pPr>
      <w:r w:rsidRPr="00005B43">
        <w:rPr>
          <w:b/>
          <w:bCs/>
        </w:rPr>
        <w:t>The type/s of vehicle which operated the replacement bus service in April, May, June, July and August this year, with their seating capacity.</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56886AC3" w14:textId="77777777" w:rsidR="00005B43" w:rsidRPr="00005B43" w:rsidRDefault="00005B43" w:rsidP="00005B43">
      <w:pPr>
        <w:spacing w:after="0" w:line="240" w:lineRule="auto"/>
        <w:rPr>
          <w:u w:val="single"/>
        </w:rPr>
      </w:pPr>
      <w:r w:rsidRPr="00005B43">
        <w:rPr>
          <w:u w:val="single"/>
        </w:rPr>
        <w:t>Question 1</w:t>
      </w:r>
    </w:p>
    <w:p w14:paraId="779DB02E" w14:textId="77777777" w:rsidR="00005B43" w:rsidRDefault="00005B43" w:rsidP="00005B43">
      <w:pPr>
        <w:spacing w:after="0" w:line="240" w:lineRule="auto"/>
        <w:rPr>
          <w:b/>
          <w:bCs/>
        </w:rPr>
      </w:pPr>
    </w:p>
    <w:p w14:paraId="298F2B07" w14:textId="00AC2E0A" w:rsidR="00005B43" w:rsidRPr="00005B43" w:rsidRDefault="00005B43" w:rsidP="00005B43">
      <w:pPr>
        <w:spacing w:after="0" w:line="240" w:lineRule="auto"/>
      </w:pPr>
      <w:r w:rsidRPr="00005B43">
        <w:t xml:space="preserve">Transport for Wales do not routinely count passenger numbers of RRS unless there is a coordinator present. Unfortunately, we do not book a coordinator for these shuttle services, so we have no passenger numbers recorded. </w:t>
      </w:r>
    </w:p>
    <w:p w14:paraId="747276D8" w14:textId="77777777" w:rsidR="00005B43" w:rsidRPr="00005B43" w:rsidRDefault="00005B43" w:rsidP="00005B43">
      <w:pPr>
        <w:spacing w:after="0" w:line="240" w:lineRule="auto"/>
      </w:pPr>
      <w:r w:rsidRPr="00005B43">
        <w:rPr>
          <w:b/>
          <w:bCs/>
        </w:rPr>
        <w:t> </w:t>
      </w:r>
    </w:p>
    <w:p w14:paraId="665F53C4" w14:textId="77777777" w:rsidR="00005B43" w:rsidRPr="00005B43" w:rsidRDefault="00005B43" w:rsidP="00005B43">
      <w:pPr>
        <w:spacing w:after="0" w:line="240" w:lineRule="auto"/>
        <w:rPr>
          <w:u w:val="single"/>
        </w:rPr>
      </w:pPr>
      <w:r w:rsidRPr="00005B43">
        <w:rPr>
          <w:u w:val="single"/>
        </w:rPr>
        <w:t>Question 2</w:t>
      </w:r>
    </w:p>
    <w:p w14:paraId="6DF16109" w14:textId="77777777" w:rsidR="00005B43" w:rsidRPr="00005B43" w:rsidRDefault="00005B43" w:rsidP="00005B43">
      <w:pPr>
        <w:spacing w:after="0" w:line="240" w:lineRule="auto"/>
        <w:rPr>
          <w:u w:val="single"/>
        </w:rPr>
      </w:pPr>
    </w:p>
    <w:p w14:paraId="2CFA6208" w14:textId="28CAC31D" w:rsidR="00005B43" w:rsidRPr="00005B43" w:rsidRDefault="00005B43" w:rsidP="00005B43">
      <w:pPr>
        <w:spacing w:after="0" w:line="240" w:lineRule="auto"/>
      </w:pPr>
      <w:r w:rsidRPr="00005B43">
        <w:t>Please see the cost to TfW for providing these services below:</w:t>
      </w:r>
    </w:p>
    <w:p w14:paraId="1C8F9F2E" w14:textId="77777777" w:rsidR="00005B43" w:rsidRPr="00005B43" w:rsidRDefault="00005B43" w:rsidP="00005B43">
      <w:pPr>
        <w:spacing w:after="0" w:line="240" w:lineRule="auto"/>
        <w:rPr>
          <w:b/>
          <w:bCs/>
        </w:rPr>
      </w:pPr>
    </w:p>
    <w:tbl>
      <w:tblPr>
        <w:tblW w:w="3119" w:type="dxa"/>
        <w:tblCellMar>
          <w:left w:w="0" w:type="dxa"/>
          <w:right w:w="0" w:type="dxa"/>
        </w:tblCellMar>
        <w:tblLook w:val="04A0" w:firstRow="1" w:lastRow="0" w:firstColumn="1" w:lastColumn="0" w:noHBand="0" w:noVBand="1"/>
      </w:tblPr>
      <w:tblGrid>
        <w:gridCol w:w="1400"/>
        <w:gridCol w:w="1719"/>
      </w:tblGrid>
      <w:tr w:rsidR="00005B43" w:rsidRPr="00005B43" w14:paraId="359210DA" w14:textId="77777777">
        <w:trPr>
          <w:trHeight w:val="288"/>
        </w:trPr>
        <w:tc>
          <w:tcPr>
            <w:tcW w:w="14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4CDA6C1F" w14:textId="77777777" w:rsidR="00005B43" w:rsidRPr="00005B43" w:rsidRDefault="00005B43" w:rsidP="00005B43">
            <w:pPr>
              <w:spacing w:after="0" w:line="240" w:lineRule="auto"/>
              <w:rPr>
                <w:b/>
                <w:bCs/>
              </w:rPr>
            </w:pPr>
            <w:r w:rsidRPr="00005B43">
              <w:rPr>
                <w:b/>
                <w:bCs/>
              </w:rPr>
              <w:t>Row Labels</w:t>
            </w:r>
          </w:p>
        </w:tc>
        <w:tc>
          <w:tcPr>
            <w:tcW w:w="1719"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7272B4E1" w14:textId="77777777" w:rsidR="00005B43" w:rsidRPr="00005B43" w:rsidRDefault="00005B43" w:rsidP="00005B43">
            <w:pPr>
              <w:spacing w:after="0" w:line="240" w:lineRule="auto"/>
              <w:rPr>
                <w:b/>
                <w:bCs/>
              </w:rPr>
            </w:pPr>
            <w:r w:rsidRPr="00005B43">
              <w:rPr>
                <w:b/>
                <w:bCs/>
              </w:rPr>
              <w:t xml:space="preserve">Sum of Cost </w:t>
            </w:r>
          </w:p>
        </w:tc>
      </w:tr>
      <w:tr w:rsidR="00005B43" w:rsidRPr="00005B43" w14:paraId="61A71B30" w14:textId="77777777">
        <w:trPr>
          <w:trHeight w:val="288"/>
        </w:trPr>
        <w:tc>
          <w:tcPr>
            <w:tcW w:w="1400" w:type="dxa"/>
            <w:tcBorders>
              <w:top w:val="nil"/>
              <w:left w:val="nil"/>
              <w:bottom w:val="single" w:sz="8" w:space="0" w:color="44B3E1"/>
              <w:right w:val="nil"/>
            </w:tcBorders>
            <w:noWrap/>
            <w:tcMar>
              <w:top w:w="0" w:type="dxa"/>
              <w:left w:w="108" w:type="dxa"/>
              <w:bottom w:w="0" w:type="dxa"/>
              <w:right w:w="108" w:type="dxa"/>
            </w:tcMar>
            <w:vAlign w:val="bottom"/>
            <w:hideMark/>
          </w:tcPr>
          <w:p w14:paraId="3F9D5170" w14:textId="77777777" w:rsidR="00005B43" w:rsidRPr="00005B43" w:rsidRDefault="00005B43" w:rsidP="00005B43">
            <w:pPr>
              <w:spacing w:after="0" w:line="240" w:lineRule="auto"/>
              <w:rPr>
                <w:b/>
                <w:bCs/>
              </w:rPr>
            </w:pPr>
            <w:r w:rsidRPr="00005B43">
              <w:rPr>
                <w:b/>
                <w:bCs/>
              </w:rPr>
              <w:t>Apr</w:t>
            </w:r>
          </w:p>
        </w:tc>
        <w:tc>
          <w:tcPr>
            <w:tcW w:w="1719" w:type="dxa"/>
            <w:tcBorders>
              <w:top w:val="nil"/>
              <w:left w:val="nil"/>
              <w:bottom w:val="single" w:sz="8" w:space="0" w:color="44B3E1"/>
              <w:right w:val="nil"/>
            </w:tcBorders>
            <w:noWrap/>
            <w:tcMar>
              <w:top w:w="0" w:type="dxa"/>
              <w:left w:w="108" w:type="dxa"/>
              <w:bottom w:w="0" w:type="dxa"/>
              <w:right w:w="108" w:type="dxa"/>
            </w:tcMar>
            <w:vAlign w:val="bottom"/>
            <w:hideMark/>
          </w:tcPr>
          <w:p w14:paraId="114A1227" w14:textId="77777777" w:rsidR="00005B43" w:rsidRPr="00005B43" w:rsidRDefault="00005B43" w:rsidP="00005B43">
            <w:pPr>
              <w:spacing w:after="0" w:line="240" w:lineRule="auto"/>
              <w:rPr>
                <w:b/>
                <w:bCs/>
              </w:rPr>
            </w:pPr>
            <w:r w:rsidRPr="00005B43">
              <w:rPr>
                <w:b/>
                <w:bCs/>
              </w:rPr>
              <w:t xml:space="preserve">£     58,552.42 </w:t>
            </w:r>
          </w:p>
        </w:tc>
      </w:tr>
      <w:tr w:rsidR="00005B43" w:rsidRPr="00005B43" w14:paraId="4E67BED4" w14:textId="77777777">
        <w:trPr>
          <w:trHeight w:val="288"/>
        </w:trPr>
        <w:tc>
          <w:tcPr>
            <w:tcW w:w="1400" w:type="dxa"/>
            <w:tcBorders>
              <w:top w:val="nil"/>
              <w:left w:val="nil"/>
              <w:bottom w:val="single" w:sz="8" w:space="0" w:color="44B3E1"/>
              <w:right w:val="nil"/>
            </w:tcBorders>
            <w:noWrap/>
            <w:tcMar>
              <w:top w:w="0" w:type="dxa"/>
              <w:left w:w="108" w:type="dxa"/>
              <w:bottom w:w="0" w:type="dxa"/>
              <w:right w:w="108" w:type="dxa"/>
            </w:tcMar>
            <w:vAlign w:val="bottom"/>
            <w:hideMark/>
          </w:tcPr>
          <w:p w14:paraId="62CAE30B" w14:textId="77777777" w:rsidR="00005B43" w:rsidRPr="00005B43" w:rsidRDefault="00005B43" w:rsidP="00005B43">
            <w:pPr>
              <w:spacing w:after="0" w:line="240" w:lineRule="auto"/>
              <w:rPr>
                <w:b/>
                <w:bCs/>
              </w:rPr>
            </w:pPr>
            <w:r w:rsidRPr="00005B43">
              <w:rPr>
                <w:b/>
                <w:bCs/>
              </w:rPr>
              <w:t>May</w:t>
            </w:r>
          </w:p>
        </w:tc>
        <w:tc>
          <w:tcPr>
            <w:tcW w:w="1719" w:type="dxa"/>
            <w:tcBorders>
              <w:top w:val="nil"/>
              <w:left w:val="nil"/>
              <w:bottom w:val="single" w:sz="8" w:space="0" w:color="44B3E1"/>
              <w:right w:val="nil"/>
            </w:tcBorders>
            <w:noWrap/>
            <w:tcMar>
              <w:top w:w="0" w:type="dxa"/>
              <w:left w:w="108" w:type="dxa"/>
              <w:bottom w:w="0" w:type="dxa"/>
              <w:right w:w="108" w:type="dxa"/>
            </w:tcMar>
            <w:vAlign w:val="bottom"/>
            <w:hideMark/>
          </w:tcPr>
          <w:p w14:paraId="1C74F856" w14:textId="77777777" w:rsidR="00005B43" w:rsidRPr="00005B43" w:rsidRDefault="00005B43" w:rsidP="00005B43">
            <w:pPr>
              <w:spacing w:after="0" w:line="240" w:lineRule="auto"/>
              <w:rPr>
                <w:b/>
                <w:bCs/>
              </w:rPr>
            </w:pPr>
            <w:r w:rsidRPr="00005B43">
              <w:rPr>
                <w:b/>
                <w:bCs/>
              </w:rPr>
              <w:t xml:space="preserve">£     60,558.65 </w:t>
            </w:r>
          </w:p>
        </w:tc>
      </w:tr>
      <w:tr w:rsidR="00005B43" w:rsidRPr="00005B43" w14:paraId="4572C0CA" w14:textId="77777777">
        <w:trPr>
          <w:trHeight w:val="288"/>
        </w:trPr>
        <w:tc>
          <w:tcPr>
            <w:tcW w:w="1400" w:type="dxa"/>
            <w:tcBorders>
              <w:top w:val="nil"/>
              <w:left w:val="nil"/>
              <w:bottom w:val="single" w:sz="8" w:space="0" w:color="44B3E1"/>
              <w:right w:val="nil"/>
            </w:tcBorders>
            <w:noWrap/>
            <w:tcMar>
              <w:top w:w="0" w:type="dxa"/>
              <w:left w:w="108" w:type="dxa"/>
              <w:bottom w:w="0" w:type="dxa"/>
              <w:right w:w="108" w:type="dxa"/>
            </w:tcMar>
            <w:vAlign w:val="bottom"/>
            <w:hideMark/>
          </w:tcPr>
          <w:p w14:paraId="7D109EB5" w14:textId="77777777" w:rsidR="00005B43" w:rsidRPr="00005B43" w:rsidRDefault="00005B43" w:rsidP="00005B43">
            <w:pPr>
              <w:spacing w:after="0" w:line="240" w:lineRule="auto"/>
              <w:rPr>
                <w:b/>
                <w:bCs/>
              </w:rPr>
            </w:pPr>
            <w:r w:rsidRPr="00005B43">
              <w:rPr>
                <w:b/>
                <w:bCs/>
              </w:rPr>
              <w:t>Jun</w:t>
            </w:r>
          </w:p>
        </w:tc>
        <w:tc>
          <w:tcPr>
            <w:tcW w:w="1719" w:type="dxa"/>
            <w:tcBorders>
              <w:top w:val="nil"/>
              <w:left w:val="nil"/>
              <w:bottom w:val="single" w:sz="8" w:space="0" w:color="44B3E1"/>
              <w:right w:val="nil"/>
            </w:tcBorders>
            <w:noWrap/>
            <w:tcMar>
              <w:top w:w="0" w:type="dxa"/>
              <w:left w:w="108" w:type="dxa"/>
              <w:bottom w:w="0" w:type="dxa"/>
              <w:right w:w="108" w:type="dxa"/>
            </w:tcMar>
            <w:vAlign w:val="bottom"/>
            <w:hideMark/>
          </w:tcPr>
          <w:p w14:paraId="01A581D7" w14:textId="77777777" w:rsidR="00005B43" w:rsidRPr="00005B43" w:rsidRDefault="00005B43" w:rsidP="00005B43">
            <w:pPr>
              <w:spacing w:after="0" w:line="240" w:lineRule="auto"/>
              <w:rPr>
                <w:b/>
                <w:bCs/>
              </w:rPr>
            </w:pPr>
            <w:r w:rsidRPr="00005B43">
              <w:rPr>
                <w:b/>
                <w:bCs/>
              </w:rPr>
              <w:t xml:space="preserve">£     58,157.03 </w:t>
            </w:r>
          </w:p>
        </w:tc>
      </w:tr>
      <w:tr w:rsidR="00005B43" w:rsidRPr="00005B43" w14:paraId="57A5C5A2" w14:textId="77777777">
        <w:trPr>
          <w:trHeight w:val="288"/>
        </w:trPr>
        <w:tc>
          <w:tcPr>
            <w:tcW w:w="1400" w:type="dxa"/>
            <w:tcBorders>
              <w:top w:val="nil"/>
              <w:left w:val="nil"/>
              <w:bottom w:val="single" w:sz="8" w:space="0" w:color="44B3E1"/>
              <w:right w:val="nil"/>
            </w:tcBorders>
            <w:noWrap/>
            <w:tcMar>
              <w:top w:w="0" w:type="dxa"/>
              <w:left w:w="108" w:type="dxa"/>
              <w:bottom w:w="0" w:type="dxa"/>
              <w:right w:w="108" w:type="dxa"/>
            </w:tcMar>
            <w:vAlign w:val="bottom"/>
            <w:hideMark/>
          </w:tcPr>
          <w:p w14:paraId="5E5ADB40" w14:textId="77777777" w:rsidR="00005B43" w:rsidRPr="00005B43" w:rsidRDefault="00005B43" w:rsidP="00005B43">
            <w:pPr>
              <w:spacing w:after="0" w:line="240" w:lineRule="auto"/>
              <w:rPr>
                <w:b/>
                <w:bCs/>
              </w:rPr>
            </w:pPr>
            <w:r w:rsidRPr="00005B43">
              <w:rPr>
                <w:b/>
                <w:bCs/>
              </w:rPr>
              <w:t>Jul</w:t>
            </w:r>
          </w:p>
        </w:tc>
        <w:tc>
          <w:tcPr>
            <w:tcW w:w="1719" w:type="dxa"/>
            <w:tcBorders>
              <w:top w:val="nil"/>
              <w:left w:val="nil"/>
              <w:bottom w:val="single" w:sz="8" w:space="0" w:color="44B3E1"/>
              <w:right w:val="nil"/>
            </w:tcBorders>
            <w:noWrap/>
            <w:tcMar>
              <w:top w:w="0" w:type="dxa"/>
              <w:left w:w="108" w:type="dxa"/>
              <w:bottom w:w="0" w:type="dxa"/>
              <w:right w:w="108" w:type="dxa"/>
            </w:tcMar>
            <w:vAlign w:val="bottom"/>
            <w:hideMark/>
          </w:tcPr>
          <w:p w14:paraId="5E9A11B2" w14:textId="77777777" w:rsidR="00005B43" w:rsidRPr="00005B43" w:rsidRDefault="00005B43" w:rsidP="00005B43">
            <w:pPr>
              <w:spacing w:after="0" w:line="240" w:lineRule="auto"/>
              <w:rPr>
                <w:b/>
                <w:bCs/>
              </w:rPr>
            </w:pPr>
            <w:r w:rsidRPr="00005B43">
              <w:rPr>
                <w:b/>
                <w:bCs/>
              </w:rPr>
              <w:t xml:space="preserve">£     60,556.62 </w:t>
            </w:r>
          </w:p>
        </w:tc>
      </w:tr>
      <w:tr w:rsidR="00005B43" w:rsidRPr="00005B43" w14:paraId="1E1D5631" w14:textId="77777777">
        <w:trPr>
          <w:trHeight w:val="288"/>
        </w:trPr>
        <w:tc>
          <w:tcPr>
            <w:tcW w:w="1400" w:type="dxa"/>
            <w:tcBorders>
              <w:top w:val="nil"/>
              <w:left w:val="nil"/>
              <w:bottom w:val="single" w:sz="8" w:space="0" w:color="44B3E1"/>
              <w:right w:val="nil"/>
            </w:tcBorders>
            <w:noWrap/>
            <w:tcMar>
              <w:top w:w="0" w:type="dxa"/>
              <w:left w:w="108" w:type="dxa"/>
              <w:bottom w:w="0" w:type="dxa"/>
              <w:right w:w="108" w:type="dxa"/>
            </w:tcMar>
            <w:vAlign w:val="bottom"/>
            <w:hideMark/>
          </w:tcPr>
          <w:p w14:paraId="0D9BCE3E" w14:textId="77777777" w:rsidR="00005B43" w:rsidRPr="00005B43" w:rsidRDefault="00005B43" w:rsidP="00005B43">
            <w:pPr>
              <w:spacing w:after="0" w:line="240" w:lineRule="auto"/>
              <w:rPr>
                <w:b/>
                <w:bCs/>
              </w:rPr>
            </w:pPr>
            <w:r w:rsidRPr="00005B43">
              <w:rPr>
                <w:b/>
                <w:bCs/>
              </w:rPr>
              <w:t>Aug</w:t>
            </w:r>
          </w:p>
        </w:tc>
        <w:tc>
          <w:tcPr>
            <w:tcW w:w="1719" w:type="dxa"/>
            <w:tcBorders>
              <w:top w:val="nil"/>
              <w:left w:val="nil"/>
              <w:bottom w:val="single" w:sz="8" w:space="0" w:color="44B3E1"/>
              <w:right w:val="nil"/>
            </w:tcBorders>
            <w:noWrap/>
            <w:tcMar>
              <w:top w:w="0" w:type="dxa"/>
              <w:left w:w="108" w:type="dxa"/>
              <w:bottom w:w="0" w:type="dxa"/>
              <w:right w:w="108" w:type="dxa"/>
            </w:tcMar>
            <w:vAlign w:val="bottom"/>
            <w:hideMark/>
          </w:tcPr>
          <w:p w14:paraId="2D43D3B3" w14:textId="77777777" w:rsidR="00005B43" w:rsidRPr="00005B43" w:rsidRDefault="00005B43" w:rsidP="00005B43">
            <w:pPr>
              <w:spacing w:after="0" w:line="240" w:lineRule="auto"/>
              <w:rPr>
                <w:b/>
                <w:bCs/>
              </w:rPr>
            </w:pPr>
            <w:r w:rsidRPr="00005B43">
              <w:rPr>
                <w:b/>
                <w:bCs/>
              </w:rPr>
              <w:t xml:space="preserve">£     60,163.25 </w:t>
            </w:r>
          </w:p>
        </w:tc>
      </w:tr>
      <w:tr w:rsidR="00005B43" w:rsidRPr="00005B43" w14:paraId="447D0539" w14:textId="77777777">
        <w:trPr>
          <w:trHeight w:val="288"/>
        </w:trPr>
        <w:tc>
          <w:tcPr>
            <w:tcW w:w="1400" w:type="dxa"/>
            <w:shd w:val="clear" w:color="auto" w:fill="C0E6F5"/>
            <w:noWrap/>
            <w:tcMar>
              <w:top w:w="0" w:type="dxa"/>
              <w:left w:w="108" w:type="dxa"/>
              <w:bottom w:w="0" w:type="dxa"/>
              <w:right w:w="108" w:type="dxa"/>
            </w:tcMar>
            <w:vAlign w:val="bottom"/>
            <w:hideMark/>
          </w:tcPr>
          <w:p w14:paraId="6680594F" w14:textId="77777777" w:rsidR="00005B43" w:rsidRPr="00005B43" w:rsidRDefault="00005B43" w:rsidP="00005B43">
            <w:pPr>
              <w:spacing w:after="0" w:line="240" w:lineRule="auto"/>
              <w:rPr>
                <w:b/>
                <w:bCs/>
              </w:rPr>
            </w:pPr>
            <w:r w:rsidRPr="00005B43">
              <w:rPr>
                <w:b/>
                <w:bCs/>
              </w:rPr>
              <w:t>Grand Total</w:t>
            </w:r>
          </w:p>
        </w:tc>
        <w:tc>
          <w:tcPr>
            <w:tcW w:w="1719" w:type="dxa"/>
            <w:shd w:val="clear" w:color="auto" w:fill="C0E6F5"/>
            <w:noWrap/>
            <w:tcMar>
              <w:top w:w="0" w:type="dxa"/>
              <w:left w:w="108" w:type="dxa"/>
              <w:bottom w:w="0" w:type="dxa"/>
              <w:right w:w="108" w:type="dxa"/>
            </w:tcMar>
            <w:vAlign w:val="bottom"/>
            <w:hideMark/>
          </w:tcPr>
          <w:p w14:paraId="64EF1ECA" w14:textId="77777777" w:rsidR="00005B43" w:rsidRPr="00005B43" w:rsidRDefault="00005B43" w:rsidP="00005B43">
            <w:pPr>
              <w:spacing w:after="0" w:line="240" w:lineRule="auto"/>
              <w:rPr>
                <w:b/>
                <w:bCs/>
              </w:rPr>
            </w:pPr>
            <w:proofErr w:type="gramStart"/>
            <w:r w:rsidRPr="00005B43">
              <w:rPr>
                <w:b/>
                <w:bCs/>
              </w:rPr>
              <w:t>£  297,987.97</w:t>
            </w:r>
            <w:proofErr w:type="gramEnd"/>
            <w:r w:rsidRPr="00005B43">
              <w:rPr>
                <w:b/>
                <w:bCs/>
              </w:rPr>
              <w:t xml:space="preserve"> </w:t>
            </w:r>
          </w:p>
        </w:tc>
      </w:tr>
    </w:tbl>
    <w:p w14:paraId="0B3E2D62" w14:textId="77777777" w:rsidR="00005B43" w:rsidRPr="00005B43" w:rsidRDefault="00005B43" w:rsidP="00005B43">
      <w:pPr>
        <w:spacing w:after="0" w:line="240" w:lineRule="auto"/>
      </w:pPr>
    </w:p>
    <w:p w14:paraId="516EBA3F" w14:textId="77777777" w:rsidR="00230A53" w:rsidRDefault="00230A53" w:rsidP="00005B43">
      <w:pPr>
        <w:spacing w:after="0" w:line="240" w:lineRule="auto"/>
        <w:rPr>
          <w:u w:val="single"/>
        </w:rPr>
      </w:pPr>
    </w:p>
    <w:p w14:paraId="3803C2C9" w14:textId="77777777" w:rsidR="00230A53" w:rsidRDefault="00230A53" w:rsidP="00005B43">
      <w:pPr>
        <w:spacing w:after="0" w:line="240" w:lineRule="auto"/>
        <w:rPr>
          <w:u w:val="single"/>
        </w:rPr>
      </w:pPr>
    </w:p>
    <w:p w14:paraId="5B37230A" w14:textId="77777777" w:rsidR="00230A53" w:rsidRDefault="00230A53" w:rsidP="00005B43">
      <w:pPr>
        <w:spacing w:after="0" w:line="240" w:lineRule="auto"/>
        <w:rPr>
          <w:u w:val="single"/>
        </w:rPr>
      </w:pPr>
    </w:p>
    <w:p w14:paraId="020B8ADC" w14:textId="77777777" w:rsidR="00230A53" w:rsidRDefault="00230A53" w:rsidP="00005B43">
      <w:pPr>
        <w:spacing w:after="0" w:line="240" w:lineRule="auto"/>
        <w:rPr>
          <w:u w:val="single"/>
        </w:rPr>
      </w:pPr>
    </w:p>
    <w:p w14:paraId="56012B02" w14:textId="77777777" w:rsidR="00230A53" w:rsidRDefault="00230A53" w:rsidP="00005B43">
      <w:pPr>
        <w:spacing w:after="0" w:line="240" w:lineRule="auto"/>
        <w:rPr>
          <w:u w:val="single"/>
        </w:rPr>
      </w:pPr>
    </w:p>
    <w:p w14:paraId="5AC70264" w14:textId="040CF229" w:rsidR="00230A53" w:rsidRPr="00230A53" w:rsidRDefault="00230A53" w:rsidP="00230A53">
      <w:pPr>
        <w:spacing w:after="0" w:line="240" w:lineRule="auto"/>
        <w:jc w:val="right"/>
        <w:rPr>
          <w:i/>
          <w:iCs/>
        </w:rPr>
      </w:pPr>
      <w:r w:rsidRPr="00230A53">
        <w:rPr>
          <w:i/>
          <w:iCs/>
        </w:rPr>
        <w:t>Continued…</w:t>
      </w:r>
    </w:p>
    <w:p w14:paraId="36210BCA" w14:textId="78A2500C" w:rsidR="00230A53" w:rsidRPr="00230A53" w:rsidRDefault="00230A53" w:rsidP="00005B43">
      <w:pPr>
        <w:spacing w:after="0" w:line="240" w:lineRule="auto"/>
        <w:rPr>
          <w:u w:val="single"/>
        </w:rPr>
      </w:pPr>
      <w:r w:rsidRPr="00230A53">
        <w:rPr>
          <w:u w:val="single"/>
        </w:rPr>
        <w:lastRenderedPageBreak/>
        <w:t>Question 3</w:t>
      </w:r>
    </w:p>
    <w:p w14:paraId="24E17F61" w14:textId="77777777" w:rsidR="00230A53" w:rsidRPr="00230A53" w:rsidRDefault="00230A53" w:rsidP="00230A53">
      <w:pPr>
        <w:spacing w:after="0" w:line="240" w:lineRule="auto"/>
        <w:rPr>
          <w:b/>
          <w:bCs/>
        </w:rPr>
      </w:pPr>
    </w:p>
    <w:tbl>
      <w:tblPr>
        <w:tblW w:w="5700" w:type="dxa"/>
        <w:tblCellMar>
          <w:left w:w="0" w:type="dxa"/>
          <w:right w:w="0" w:type="dxa"/>
        </w:tblCellMar>
        <w:tblLook w:val="04A0" w:firstRow="1" w:lastRow="0" w:firstColumn="1" w:lastColumn="0" w:noHBand="0" w:noVBand="1"/>
      </w:tblPr>
      <w:tblGrid>
        <w:gridCol w:w="1334"/>
        <w:gridCol w:w="1252"/>
        <w:gridCol w:w="1973"/>
        <w:gridCol w:w="1141"/>
      </w:tblGrid>
      <w:tr w:rsidR="00230A53" w:rsidRPr="00230A53" w14:paraId="27FF5DCA" w14:textId="77777777">
        <w:trPr>
          <w:trHeight w:val="210"/>
        </w:trPr>
        <w:tc>
          <w:tcPr>
            <w:tcW w:w="1288" w:type="dxa"/>
            <w:shd w:val="clear" w:color="auto" w:fill="FF0000"/>
            <w:noWrap/>
            <w:tcMar>
              <w:top w:w="15" w:type="dxa"/>
              <w:left w:w="15" w:type="dxa"/>
              <w:bottom w:w="0" w:type="dxa"/>
              <w:right w:w="15" w:type="dxa"/>
            </w:tcMar>
            <w:vAlign w:val="bottom"/>
            <w:hideMark/>
          </w:tcPr>
          <w:p w14:paraId="79E060E9" w14:textId="77777777" w:rsidR="00230A53" w:rsidRPr="00230A53" w:rsidRDefault="00230A53" w:rsidP="00230A53">
            <w:pPr>
              <w:spacing w:after="0" w:line="240" w:lineRule="auto"/>
              <w:rPr>
                <w:b/>
                <w:bCs/>
              </w:rPr>
            </w:pPr>
            <w:r w:rsidRPr="00230A53">
              <w:rPr>
                <w:b/>
                <w:bCs/>
              </w:rPr>
              <w:t>Month</w:t>
            </w:r>
          </w:p>
        </w:tc>
        <w:tc>
          <w:tcPr>
            <w:tcW w:w="1209" w:type="dxa"/>
            <w:shd w:val="clear" w:color="auto" w:fill="FF0000"/>
            <w:noWrap/>
            <w:tcMar>
              <w:top w:w="15" w:type="dxa"/>
              <w:left w:w="15" w:type="dxa"/>
              <w:bottom w:w="0" w:type="dxa"/>
              <w:right w:w="15" w:type="dxa"/>
            </w:tcMar>
            <w:vAlign w:val="bottom"/>
            <w:hideMark/>
          </w:tcPr>
          <w:p w14:paraId="2FF2BF16" w14:textId="77777777" w:rsidR="00230A53" w:rsidRPr="00230A53" w:rsidRDefault="00230A53" w:rsidP="00230A53">
            <w:pPr>
              <w:spacing w:after="0" w:line="240" w:lineRule="auto"/>
              <w:rPr>
                <w:b/>
                <w:bCs/>
              </w:rPr>
            </w:pPr>
            <w:r w:rsidRPr="00230A53">
              <w:rPr>
                <w:b/>
                <w:bCs/>
              </w:rPr>
              <w:t>TfW Hrs</w:t>
            </w:r>
          </w:p>
        </w:tc>
        <w:tc>
          <w:tcPr>
            <w:tcW w:w="1905" w:type="dxa"/>
            <w:shd w:val="clear" w:color="auto" w:fill="FF0000"/>
            <w:noWrap/>
            <w:tcMar>
              <w:top w:w="15" w:type="dxa"/>
              <w:left w:w="15" w:type="dxa"/>
              <w:bottom w:w="0" w:type="dxa"/>
              <w:right w:w="15" w:type="dxa"/>
            </w:tcMar>
            <w:vAlign w:val="bottom"/>
            <w:hideMark/>
          </w:tcPr>
          <w:p w14:paraId="0E996CF6" w14:textId="77777777" w:rsidR="00230A53" w:rsidRPr="00230A53" w:rsidRDefault="00230A53" w:rsidP="00230A53">
            <w:pPr>
              <w:spacing w:after="0" w:line="240" w:lineRule="auto"/>
              <w:rPr>
                <w:b/>
                <w:bCs/>
              </w:rPr>
            </w:pPr>
            <w:r w:rsidRPr="00230A53">
              <w:rPr>
                <w:b/>
                <w:bCs/>
              </w:rPr>
              <w:t>TIL Hrs</w:t>
            </w:r>
          </w:p>
        </w:tc>
        <w:tc>
          <w:tcPr>
            <w:tcW w:w="1102" w:type="dxa"/>
            <w:shd w:val="clear" w:color="auto" w:fill="FF0000"/>
            <w:noWrap/>
            <w:tcMar>
              <w:top w:w="15" w:type="dxa"/>
              <w:left w:w="15" w:type="dxa"/>
              <w:bottom w:w="0" w:type="dxa"/>
              <w:right w:w="15" w:type="dxa"/>
            </w:tcMar>
            <w:vAlign w:val="bottom"/>
            <w:hideMark/>
          </w:tcPr>
          <w:p w14:paraId="2EF5D529" w14:textId="77777777" w:rsidR="00230A53" w:rsidRPr="00230A53" w:rsidRDefault="00230A53" w:rsidP="00230A53">
            <w:pPr>
              <w:spacing w:after="0" w:line="240" w:lineRule="auto"/>
              <w:rPr>
                <w:b/>
                <w:bCs/>
              </w:rPr>
            </w:pPr>
            <w:r w:rsidRPr="00230A53">
              <w:rPr>
                <w:b/>
                <w:bCs/>
              </w:rPr>
              <w:t>Totals</w:t>
            </w:r>
          </w:p>
        </w:tc>
      </w:tr>
      <w:tr w:rsidR="00230A53" w:rsidRPr="00230A53" w14:paraId="627ADA7C" w14:textId="77777777">
        <w:trPr>
          <w:trHeight w:val="210"/>
        </w:trPr>
        <w:tc>
          <w:tcPr>
            <w:tcW w:w="1288" w:type="dxa"/>
            <w:shd w:val="clear" w:color="auto" w:fill="FF0000"/>
            <w:noWrap/>
            <w:tcMar>
              <w:top w:w="15" w:type="dxa"/>
              <w:left w:w="15" w:type="dxa"/>
              <w:bottom w:w="0" w:type="dxa"/>
              <w:right w:w="15" w:type="dxa"/>
            </w:tcMar>
            <w:vAlign w:val="bottom"/>
            <w:hideMark/>
          </w:tcPr>
          <w:p w14:paraId="0ABDC456" w14:textId="77777777" w:rsidR="00230A53" w:rsidRPr="00230A53" w:rsidRDefault="00230A53" w:rsidP="00230A53">
            <w:pPr>
              <w:spacing w:after="0" w:line="240" w:lineRule="auto"/>
              <w:rPr>
                <w:b/>
                <w:bCs/>
              </w:rPr>
            </w:pPr>
            <w:r w:rsidRPr="00230A53">
              <w:rPr>
                <w:b/>
                <w:bCs/>
              </w:rPr>
              <w:t>April</w:t>
            </w:r>
          </w:p>
        </w:tc>
        <w:tc>
          <w:tcPr>
            <w:tcW w:w="1209" w:type="dxa"/>
            <w:noWrap/>
            <w:tcMar>
              <w:top w:w="15" w:type="dxa"/>
              <w:left w:w="15" w:type="dxa"/>
              <w:bottom w:w="0" w:type="dxa"/>
              <w:right w:w="15" w:type="dxa"/>
            </w:tcMar>
            <w:vAlign w:val="bottom"/>
            <w:hideMark/>
          </w:tcPr>
          <w:p w14:paraId="2D21C254" w14:textId="77777777" w:rsidR="00230A53" w:rsidRPr="00230A53" w:rsidRDefault="00230A53" w:rsidP="00230A53">
            <w:pPr>
              <w:spacing w:after="0" w:line="240" w:lineRule="auto"/>
              <w:rPr>
                <w:b/>
                <w:bCs/>
              </w:rPr>
            </w:pPr>
            <w:r w:rsidRPr="00230A53">
              <w:rPr>
                <w:b/>
                <w:bCs/>
              </w:rPr>
              <w:t>512</w:t>
            </w:r>
          </w:p>
        </w:tc>
        <w:tc>
          <w:tcPr>
            <w:tcW w:w="1905" w:type="dxa"/>
            <w:noWrap/>
            <w:tcMar>
              <w:top w:w="15" w:type="dxa"/>
              <w:left w:w="15" w:type="dxa"/>
              <w:bottom w:w="0" w:type="dxa"/>
              <w:right w:w="15" w:type="dxa"/>
            </w:tcMar>
            <w:vAlign w:val="bottom"/>
            <w:hideMark/>
          </w:tcPr>
          <w:p w14:paraId="0328D501" w14:textId="77777777" w:rsidR="00230A53" w:rsidRPr="00230A53" w:rsidRDefault="00230A53" w:rsidP="00230A53">
            <w:pPr>
              <w:spacing w:after="0" w:line="240" w:lineRule="auto"/>
              <w:rPr>
                <w:b/>
                <w:bCs/>
              </w:rPr>
            </w:pPr>
            <w:r w:rsidRPr="00230A53">
              <w:rPr>
                <w:b/>
                <w:bCs/>
              </w:rPr>
              <w:t>1290</w:t>
            </w:r>
          </w:p>
        </w:tc>
        <w:tc>
          <w:tcPr>
            <w:tcW w:w="1102" w:type="dxa"/>
            <w:noWrap/>
            <w:tcMar>
              <w:top w:w="15" w:type="dxa"/>
              <w:left w:w="15" w:type="dxa"/>
              <w:bottom w:w="0" w:type="dxa"/>
              <w:right w:w="15" w:type="dxa"/>
            </w:tcMar>
            <w:vAlign w:val="bottom"/>
            <w:hideMark/>
          </w:tcPr>
          <w:p w14:paraId="50803B96" w14:textId="77777777" w:rsidR="00230A53" w:rsidRPr="00230A53" w:rsidRDefault="00230A53" w:rsidP="00230A53">
            <w:pPr>
              <w:spacing w:after="0" w:line="240" w:lineRule="auto"/>
              <w:rPr>
                <w:b/>
                <w:bCs/>
              </w:rPr>
            </w:pPr>
            <w:r w:rsidRPr="00230A53">
              <w:rPr>
                <w:b/>
                <w:bCs/>
              </w:rPr>
              <w:t>1802</w:t>
            </w:r>
          </w:p>
        </w:tc>
      </w:tr>
      <w:tr w:rsidR="00230A53" w:rsidRPr="00230A53" w14:paraId="5F8C3F11" w14:textId="77777777">
        <w:trPr>
          <w:trHeight w:val="210"/>
        </w:trPr>
        <w:tc>
          <w:tcPr>
            <w:tcW w:w="1288" w:type="dxa"/>
            <w:shd w:val="clear" w:color="auto" w:fill="FF0000"/>
            <w:noWrap/>
            <w:tcMar>
              <w:top w:w="15" w:type="dxa"/>
              <w:left w:w="15" w:type="dxa"/>
              <w:bottom w:w="0" w:type="dxa"/>
              <w:right w:w="15" w:type="dxa"/>
            </w:tcMar>
            <w:vAlign w:val="bottom"/>
            <w:hideMark/>
          </w:tcPr>
          <w:p w14:paraId="1E1CB498" w14:textId="77777777" w:rsidR="00230A53" w:rsidRPr="00230A53" w:rsidRDefault="00230A53" w:rsidP="00230A53">
            <w:pPr>
              <w:spacing w:after="0" w:line="240" w:lineRule="auto"/>
              <w:rPr>
                <w:b/>
                <w:bCs/>
              </w:rPr>
            </w:pPr>
            <w:r w:rsidRPr="00230A53">
              <w:rPr>
                <w:b/>
                <w:bCs/>
              </w:rPr>
              <w:t>May</w:t>
            </w:r>
          </w:p>
        </w:tc>
        <w:tc>
          <w:tcPr>
            <w:tcW w:w="1209" w:type="dxa"/>
            <w:noWrap/>
            <w:tcMar>
              <w:top w:w="15" w:type="dxa"/>
              <w:left w:w="15" w:type="dxa"/>
              <w:bottom w:w="0" w:type="dxa"/>
              <w:right w:w="15" w:type="dxa"/>
            </w:tcMar>
            <w:vAlign w:val="bottom"/>
            <w:hideMark/>
          </w:tcPr>
          <w:p w14:paraId="4E48F420" w14:textId="77777777" w:rsidR="00230A53" w:rsidRPr="00230A53" w:rsidRDefault="00230A53" w:rsidP="00230A53">
            <w:pPr>
              <w:spacing w:after="0" w:line="240" w:lineRule="auto"/>
              <w:rPr>
                <w:b/>
                <w:bCs/>
              </w:rPr>
            </w:pPr>
            <w:r w:rsidRPr="00230A53">
              <w:rPr>
                <w:b/>
                <w:bCs/>
              </w:rPr>
              <w:t>113</w:t>
            </w:r>
          </w:p>
        </w:tc>
        <w:tc>
          <w:tcPr>
            <w:tcW w:w="1905" w:type="dxa"/>
            <w:noWrap/>
            <w:tcMar>
              <w:top w:w="15" w:type="dxa"/>
              <w:left w:w="15" w:type="dxa"/>
              <w:bottom w:w="0" w:type="dxa"/>
              <w:right w:w="15" w:type="dxa"/>
            </w:tcMar>
            <w:vAlign w:val="bottom"/>
            <w:hideMark/>
          </w:tcPr>
          <w:p w14:paraId="5FCA3F59" w14:textId="77777777" w:rsidR="00230A53" w:rsidRPr="00230A53" w:rsidRDefault="00230A53" w:rsidP="00230A53">
            <w:pPr>
              <w:spacing w:after="0" w:line="240" w:lineRule="auto"/>
              <w:rPr>
                <w:b/>
                <w:bCs/>
              </w:rPr>
            </w:pPr>
            <w:r w:rsidRPr="00230A53">
              <w:rPr>
                <w:b/>
                <w:bCs/>
              </w:rPr>
              <w:t>644</w:t>
            </w:r>
          </w:p>
        </w:tc>
        <w:tc>
          <w:tcPr>
            <w:tcW w:w="1102" w:type="dxa"/>
            <w:noWrap/>
            <w:tcMar>
              <w:top w:w="15" w:type="dxa"/>
              <w:left w:w="15" w:type="dxa"/>
              <w:bottom w:w="0" w:type="dxa"/>
              <w:right w:w="15" w:type="dxa"/>
            </w:tcMar>
            <w:vAlign w:val="bottom"/>
            <w:hideMark/>
          </w:tcPr>
          <w:p w14:paraId="6CED1D5C" w14:textId="77777777" w:rsidR="00230A53" w:rsidRPr="00230A53" w:rsidRDefault="00230A53" w:rsidP="00230A53">
            <w:pPr>
              <w:spacing w:after="0" w:line="240" w:lineRule="auto"/>
              <w:rPr>
                <w:b/>
                <w:bCs/>
              </w:rPr>
            </w:pPr>
            <w:r w:rsidRPr="00230A53">
              <w:rPr>
                <w:b/>
                <w:bCs/>
              </w:rPr>
              <w:t>757</w:t>
            </w:r>
          </w:p>
        </w:tc>
      </w:tr>
      <w:tr w:rsidR="00230A53" w:rsidRPr="00230A53" w14:paraId="64B16B49" w14:textId="77777777">
        <w:trPr>
          <w:trHeight w:val="210"/>
        </w:trPr>
        <w:tc>
          <w:tcPr>
            <w:tcW w:w="1288" w:type="dxa"/>
            <w:shd w:val="clear" w:color="auto" w:fill="FF0000"/>
            <w:noWrap/>
            <w:tcMar>
              <w:top w:w="15" w:type="dxa"/>
              <w:left w:w="15" w:type="dxa"/>
              <w:bottom w:w="0" w:type="dxa"/>
              <w:right w:w="15" w:type="dxa"/>
            </w:tcMar>
            <w:vAlign w:val="bottom"/>
            <w:hideMark/>
          </w:tcPr>
          <w:p w14:paraId="225C57B4" w14:textId="77777777" w:rsidR="00230A53" w:rsidRPr="00230A53" w:rsidRDefault="00230A53" w:rsidP="00230A53">
            <w:pPr>
              <w:spacing w:after="0" w:line="240" w:lineRule="auto"/>
              <w:rPr>
                <w:b/>
                <w:bCs/>
              </w:rPr>
            </w:pPr>
            <w:r w:rsidRPr="00230A53">
              <w:rPr>
                <w:b/>
                <w:bCs/>
              </w:rPr>
              <w:t>June</w:t>
            </w:r>
          </w:p>
        </w:tc>
        <w:tc>
          <w:tcPr>
            <w:tcW w:w="1209" w:type="dxa"/>
            <w:noWrap/>
            <w:tcMar>
              <w:top w:w="15" w:type="dxa"/>
              <w:left w:w="15" w:type="dxa"/>
              <w:bottom w:w="0" w:type="dxa"/>
              <w:right w:w="15" w:type="dxa"/>
            </w:tcMar>
            <w:vAlign w:val="bottom"/>
            <w:hideMark/>
          </w:tcPr>
          <w:p w14:paraId="4B9D56C7" w14:textId="77777777" w:rsidR="00230A53" w:rsidRPr="00230A53" w:rsidRDefault="00230A53" w:rsidP="00230A53">
            <w:pPr>
              <w:spacing w:after="0" w:line="240" w:lineRule="auto"/>
              <w:rPr>
                <w:b/>
                <w:bCs/>
              </w:rPr>
            </w:pPr>
            <w:r w:rsidRPr="00230A53">
              <w:rPr>
                <w:b/>
                <w:bCs/>
              </w:rPr>
              <w:t>0</w:t>
            </w:r>
          </w:p>
        </w:tc>
        <w:tc>
          <w:tcPr>
            <w:tcW w:w="1905" w:type="dxa"/>
            <w:noWrap/>
            <w:tcMar>
              <w:top w:w="15" w:type="dxa"/>
              <w:left w:w="15" w:type="dxa"/>
              <w:bottom w:w="0" w:type="dxa"/>
              <w:right w:w="15" w:type="dxa"/>
            </w:tcMar>
            <w:vAlign w:val="bottom"/>
            <w:hideMark/>
          </w:tcPr>
          <w:p w14:paraId="6E16E795" w14:textId="77777777" w:rsidR="00230A53" w:rsidRPr="00230A53" w:rsidRDefault="00230A53" w:rsidP="00230A53">
            <w:pPr>
              <w:spacing w:after="0" w:line="240" w:lineRule="auto"/>
              <w:rPr>
                <w:b/>
                <w:bCs/>
              </w:rPr>
            </w:pPr>
            <w:r w:rsidRPr="00230A53">
              <w:rPr>
                <w:b/>
                <w:bCs/>
              </w:rPr>
              <w:t>0</w:t>
            </w:r>
          </w:p>
        </w:tc>
        <w:tc>
          <w:tcPr>
            <w:tcW w:w="1102" w:type="dxa"/>
            <w:noWrap/>
            <w:tcMar>
              <w:top w:w="15" w:type="dxa"/>
              <w:left w:w="15" w:type="dxa"/>
              <w:bottom w:w="0" w:type="dxa"/>
              <w:right w:w="15" w:type="dxa"/>
            </w:tcMar>
            <w:vAlign w:val="bottom"/>
            <w:hideMark/>
          </w:tcPr>
          <w:p w14:paraId="7FBF306B" w14:textId="77777777" w:rsidR="00230A53" w:rsidRPr="00230A53" w:rsidRDefault="00230A53" w:rsidP="00230A53">
            <w:pPr>
              <w:spacing w:after="0" w:line="240" w:lineRule="auto"/>
              <w:rPr>
                <w:b/>
                <w:bCs/>
              </w:rPr>
            </w:pPr>
            <w:r w:rsidRPr="00230A53">
              <w:rPr>
                <w:b/>
                <w:bCs/>
              </w:rPr>
              <w:t>0</w:t>
            </w:r>
          </w:p>
        </w:tc>
      </w:tr>
      <w:tr w:rsidR="00230A53" w:rsidRPr="00230A53" w14:paraId="059DC02F" w14:textId="77777777">
        <w:trPr>
          <w:trHeight w:val="210"/>
        </w:trPr>
        <w:tc>
          <w:tcPr>
            <w:tcW w:w="1288" w:type="dxa"/>
            <w:shd w:val="clear" w:color="auto" w:fill="FF0000"/>
            <w:noWrap/>
            <w:tcMar>
              <w:top w:w="15" w:type="dxa"/>
              <w:left w:w="15" w:type="dxa"/>
              <w:bottom w:w="0" w:type="dxa"/>
              <w:right w:w="15" w:type="dxa"/>
            </w:tcMar>
            <w:vAlign w:val="bottom"/>
            <w:hideMark/>
          </w:tcPr>
          <w:p w14:paraId="056DB773" w14:textId="77777777" w:rsidR="00230A53" w:rsidRPr="00230A53" w:rsidRDefault="00230A53" w:rsidP="00230A53">
            <w:pPr>
              <w:spacing w:after="0" w:line="240" w:lineRule="auto"/>
              <w:rPr>
                <w:b/>
                <w:bCs/>
              </w:rPr>
            </w:pPr>
            <w:r w:rsidRPr="00230A53">
              <w:rPr>
                <w:b/>
                <w:bCs/>
              </w:rPr>
              <w:t>July</w:t>
            </w:r>
          </w:p>
        </w:tc>
        <w:tc>
          <w:tcPr>
            <w:tcW w:w="1209" w:type="dxa"/>
            <w:noWrap/>
            <w:tcMar>
              <w:top w:w="15" w:type="dxa"/>
              <w:left w:w="15" w:type="dxa"/>
              <w:bottom w:w="0" w:type="dxa"/>
              <w:right w:w="15" w:type="dxa"/>
            </w:tcMar>
            <w:vAlign w:val="bottom"/>
            <w:hideMark/>
          </w:tcPr>
          <w:p w14:paraId="5D2367C7" w14:textId="77777777" w:rsidR="00230A53" w:rsidRPr="00230A53" w:rsidRDefault="00230A53" w:rsidP="00230A53">
            <w:pPr>
              <w:spacing w:after="0" w:line="240" w:lineRule="auto"/>
              <w:rPr>
                <w:b/>
                <w:bCs/>
              </w:rPr>
            </w:pPr>
            <w:r w:rsidRPr="00230A53">
              <w:rPr>
                <w:b/>
                <w:bCs/>
              </w:rPr>
              <w:t>372</w:t>
            </w:r>
          </w:p>
        </w:tc>
        <w:tc>
          <w:tcPr>
            <w:tcW w:w="1905" w:type="dxa"/>
            <w:noWrap/>
            <w:tcMar>
              <w:top w:w="15" w:type="dxa"/>
              <w:left w:w="15" w:type="dxa"/>
              <w:bottom w:w="0" w:type="dxa"/>
              <w:right w:w="15" w:type="dxa"/>
            </w:tcMar>
            <w:vAlign w:val="bottom"/>
            <w:hideMark/>
          </w:tcPr>
          <w:p w14:paraId="3251358E" w14:textId="77777777" w:rsidR="00230A53" w:rsidRPr="00230A53" w:rsidRDefault="00230A53" w:rsidP="00230A53">
            <w:pPr>
              <w:spacing w:after="0" w:line="240" w:lineRule="auto"/>
              <w:rPr>
                <w:b/>
                <w:bCs/>
              </w:rPr>
            </w:pPr>
            <w:r w:rsidRPr="00230A53">
              <w:rPr>
                <w:b/>
                <w:bCs/>
              </w:rPr>
              <w:t>442</w:t>
            </w:r>
          </w:p>
        </w:tc>
        <w:tc>
          <w:tcPr>
            <w:tcW w:w="1102" w:type="dxa"/>
            <w:noWrap/>
            <w:tcMar>
              <w:top w:w="15" w:type="dxa"/>
              <w:left w:w="15" w:type="dxa"/>
              <w:bottom w:w="0" w:type="dxa"/>
              <w:right w:w="15" w:type="dxa"/>
            </w:tcMar>
            <w:vAlign w:val="bottom"/>
            <w:hideMark/>
          </w:tcPr>
          <w:p w14:paraId="70805084" w14:textId="77777777" w:rsidR="00230A53" w:rsidRPr="00230A53" w:rsidRDefault="00230A53" w:rsidP="00230A53">
            <w:pPr>
              <w:spacing w:after="0" w:line="240" w:lineRule="auto"/>
              <w:rPr>
                <w:b/>
                <w:bCs/>
              </w:rPr>
            </w:pPr>
            <w:r w:rsidRPr="00230A53">
              <w:rPr>
                <w:b/>
                <w:bCs/>
              </w:rPr>
              <w:t>814</w:t>
            </w:r>
          </w:p>
        </w:tc>
      </w:tr>
      <w:tr w:rsidR="00230A53" w:rsidRPr="00230A53" w14:paraId="153A8738" w14:textId="77777777">
        <w:trPr>
          <w:trHeight w:val="210"/>
        </w:trPr>
        <w:tc>
          <w:tcPr>
            <w:tcW w:w="1288" w:type="dxa"/>
            <w:shd w:val="clear" w:color="auto" w:fill="FF0000"/>
            <w:noWrap/>
            <w:tcMar>
              <w:top w:w="15" w:type="dxa"/>
              <w:left w:w="15" w:type="dxa"/>
              <w:bottom w:w="0" w:type="dxa"/>
              <w:right w:w="15" w:type="dxa"/>
            </w:tcMar>
            <w:vAlign w:val="bottom"/>
            <w:hideMark/>
          </w:tcPr>
          <w:p w14:paraId="0FE271AA" w14:textId="77777777" w:rsidR="00230A53" w:rsidRPr="00230A53" w:rsidRDefault="00230A53" w:rsidP="00230A53">
            <w:pPr>
              <w:spacing w:after="0" w:line="240" w:lineRule="auto"/>
              <w:rPr>
                <w:b/>
                <w:bCs/>
              </w:rPr>
            </w:pPr>
            <w:r w:rsidRPr="00230A53">
              <w:rPr>
                <w:b/>
                <w:bCs/>
              </w:rPr>
              <w:t>August</w:t>
            </w:r>
          </w:p>
        </w:tc>
        <w:tc>
          <w:tcPr>
            <w:tcW w:w="1209" w:type="dxa"/>
            <w:noWrap/>
            <w:tcMar>
              <w:top w:w="15" w:type="dxa"/>
              <w:left w:w="15" w:type="dxa"/>
              <w:bottom w:w="0" w:type="dxa"/>
              <w:right w:w="15" w:type="dxa"/>
            </w:tcMar>
            <w:vAlign w:val="bottom"/>
            <w:hideMark/>
          </w:tcPr>
          <w:p w14:paraId="7D2F4F23" w14:textId="77777777" w:rsidR="00230A53" w:rsidRPr="00230A53" w:rsidRDefault="00230A53" w:rsidP="00230A53">
            <w:pPr>
              <w:spacing w:after="0" w:line="240" w:lineRule="auto"/>
              <w:rPr>
                <w:b/>
                <w:bCs/>
              </w:rPr>
            </w:pPr>
            <w:r w:rsidRPr="00230A53">
              <w:rPr>
                <w:b/>
                <w:bCs/>
              </w:rPr>
              <w:t>416</w:t>
            </w:r>
          </w:p>
        </w:tc>
        <w:tc>
          <w:tcPr>
            <w:tcW w:w="1905" w:type="dxa"/>
            <w:noWrap/>
            <w:tcMar>
              <w:top w:w="15" w:type="dxa"/>
              <w:left w:w="15" w:type="dxa"/>
              <w:bottom w:w="0" w:type="dxa"/>
              <w:right w:w="15" w:type="dxa"/>
            </w:tcMar>
            <w:vAlign w:val="bottom"/>
            <w:hideMark/>
          </w:tcPr>
          <w:p w14:paraId="1AFBDD64" w14:textId="77777777" w:rsidR="00230A53" w:rsidRPr="00230A53" w:rsidRDefault="00230A53" w:rsidP="00230A53">
            <w:pPr>
              <w:spacing w:after="0" w:line="240" w:lineRule="auto"/>
              <w:rPr>
                <w:b/>
                <w:bCs/>
              </w:rPr>
            </w:pPr>
            <w:r w:rsidRPr="00230A53">
              <w:rPr>
                <w:b/>
                <w:bCs/>
              </w:rPr>
              <w:t>1278</w:t>
            </w:r>
          </w:p>
        </w:tc>
        <w:tc>
          <w:tcPr>
            <w:tcW w:w="1102" w:type="dxa"/>
            <w:noWrap/>
            <w:tcMar>
              <w:top w:w="15" w:type="dxa"/>
              <w:left w:w="15" w:type="dxa"/>
              <w:bottom w:w="0" w:type="dxa"/>
              <w:right w:w="15" w:type="dxa"/>
            </w:tcMar>
            <w:vAlign w:val="bottom"/>
            <w:hideMark/>
          </w:tcPr>
          <w:p w14:paraId="4B68F98E" w14:textId="77777777" w:rsidR="00230A53" w:rsidRPr="00230A53" w:rsidRDefault="00230A53" w:rsidP="00230A53">
            <w:pPr>
              <w:spacing w:after="0" w:line="240" w:lineRule="auto"/>
              <w:rPr>
                <w:b/>
                <w:bCs/>
              </w:rPr>
            </w:pPr>
            <w:r w:rsidRPr="00230A53">
              <w:rPr>
                <w:b/>
                <w:bCs/>
              </w:rPr>
              <w:t>1694</w:t>
            </w:r>
          </w:p>
        </w:tc>
      </w:tr>
      <w:tr w:rsidR="00230A53" w:rsidRPr="00230A53" w14:paraId="0EC97210" w14:textId="77777777">
        <w:trPr>
          <w:trHeight w:val="210"/>
        </w:trPr>
        <w:tc>
          <w:tcPr>
            <w:tcW w:w="1288" w:type="dxa"/>
            <w:shd w:val="clear" w:color="auto" w:fill="FF0000"/>
            <w:noWrap/>
            <w:tcMar>
              <w:top w:w="15" w:type="dxa"/>
              <w:left w:w="15" w:type="dxa"/>
              <w:bottom w:w="0" w:type="dxa"/>
              <w:right w:w="15" w:type="dxa"/>
            </w:tcMar>
            <w:vAlign w:val="bottom"/>
            <w:hideMark/>
          </w:tcPr>
          <w:p w14:paraId="01621F87" w14:textId="77777777" w:rsidR="00230A53" w:rsidRPr="00230A53" w:rsidRDefault="00230A53" w:rsidP="00230A53">
            <w:pPr>
              <w:spacing w:after="0" w:line="240" w:lineRule="auto"/>
              <w:rPr>
                <w:b/>
                <w:bCs/>
              </w:rPr>
            </w:pPr>
            <w:r w:rsidRPr="00230A53">
              <w:rPr>
                <w:b/>
                <w:bCs/>
              </w:rPr>
              <w:t>Total Hrs</w:t>
            </w:r>
          </w:p>
        </w:tc>
        <w:tc>
          <w:tcPr>
            <w:tcW w:w="1209" w:type="dxa"/>
            <w:noWrap/>
            <w:tcMar>
              <w:top w:w="15" w:type="dxa"/>
              <w:left w:w="15" w:type="dxa"/>
              <w:bottom w:w="0" w:type="dxa"/>
              <w:right w:w="15" w:type="dxa"/>
            </w:tcMar>
            <w:vAlign w:val="bottom"/>
            <w:hideMark/>
          </w:tcPr>
          <w:p w14:paraId="2C6029A7" w14:textId="77777777" w:rsidR="00230A53" w:rsidRPr="00230A53" w:rsidRDefault="00230A53" w:rsidP="00230A53">
            <w:pPr>
              <w:spacing w:after="0" w:line="240" w:lineRule="auto"/>
              <w:rPr>
                <w:b/>
                <w:bCs/>
              </w:rPr>
            </w:pPr>
            <w:r w:rsidRPr="00230A53">
              <w:rPr>
                <w:b/>
                <w:bCs/>
              </w:rPr>
              <w:t>1413</w:t>
            </w:r>
          </w:p>
        </w:tc>
        <w:tc>
          <w:tcPr>
            <w:tcW w:w="1905" w:type="dxa"/>
            <w:noWrap/>
            <w:tcMar>
              <w:top w:w="15" w:type="dxa"/>
              <w:left w:w="15" w:type="dxa"/>
              <w:bottom w:w="0" w:type="dxa"/>
              <w:right w:w="15" w:type="dxa"/>
            </w:tcMar>
            <w:vAlign w:val="bottom"/>
            <w:hideMark/>
          </w:tcPr>
          <w:p w14:paraId="002ABA93" w14:textId="77777777" w:rsidR="00230A53" w:rsidRPr="00230A53" w:rsidRDefault="00230A53" w:rsidP="00230A53">
            <w:pPr>
              <w:spacing w:after="0" w:line="240" w:lineRule="auto"/>
              <w:rPr>
                <w:b/>
                <w:bCs/>
              </w:rPr>
            </w:pPr>
            <w:r w:rsidRPr="00230A53">
              <w:rPr>
                <w:b/>
                <w:bCs/>
              </w:rPr>
              <w:t>3654</w:t>
            </w:r>
          </w:p>
        </w:tc>
        <w:tc>
          <w:tcPr>
            <w:tcW w:w="1102" w:type="dxa"/>
            <w:noWrap/>
            <w:tcMar>
              <w:top w:w="15" w:type="dxa"/>
              <w:left w:w="15" w:type="dxa"/>
              <w:bottom w:w="0" w:type="dxa"/>
              <w:right w:w="15" w:type="dxa"/>
            </w:tcMar>
            <w:vAlign w:val="bottom"/>
            <w:hideMark/>
          </w:tcPr>
          <w:p w14:paraId="02443C49" w14:textId="77777777" w:rsidR="00230A53" w:rsidRPr="00230A53" w:rsidRDefault="00230A53" w:rsidP="00230A53">
            <w:pPr>
              <w:spacing w:after="0" w:line="240" w:lineRule="auto"/>
              <w:rPr>
                <w:b/>
                <w:bCs/>
              </w:rPr>
            </w:pPr>
            <w:r w:rsidRPr="00230A53">
              <w:rPr>
                <w:b/>
                <w:bCs/>
              </w:rPr>
              <w:t>5067</w:t>
            </w:r>
          </w:p>
        </w:tc>
      </w:tr>
      <w:tr w:rsidR="00230A53" w:rsidRPr="00230A53" w14:paraId="1518DFB6" w14:textId="77777777">
        <w:trPr>
          <w:trHeight w:val="210"/>
        </w:trPr>
        <w:tc>
          <w:tcPr>
            <w:tcW w:w="1288" w:type="dxa"/>
            <w:shd w:val="clear" w:color="auto" w:fill="FF0000"/>
            <w:noWrap/>
            <w:tcMar>
              <w:top w:w="15" w:type="dxa"/>
              <w:left w:w="15" w:type="dxa"/>
              <w:bottom w:w="0" w:type="dxa"/>
              <w:right w:w="15" w:type="dxa"/>
            </w:tcMar>
            <w:vAlign w:val="bottom"/>
            <w:hideMark/>
          </w:tcPr>
          <w:p w14:paraId="61297620" w14:textId="77777777" w:rsidR="00230A53" w:rsidRPr="00230A53" w:rsidRDefault="00230A53" w:rsidP="00230A53">
            <w:pPr>
              <w:spacing w:after="0" w:line="240" w:lineRule="auto"/>
              <w:rPr>
                <w:b/>
                <w:bCs/>
              </w:rPr>
            </w:pPr>
            <w:r w:rsidRPr="00230A53">
              <w:rPr>
                <w:b/>
                <w:bCs/>
              </w:rPr>
              <w:t>Total Cost</w:t>
            </w:r>
          </w:p>
        </w:tc>
        <w:tc>
          <w:tcPr>
            <w:tcW w:w="1209" w:type="dxa"/>
            <w:noWrap/>
            <w:tcMar>
              <w:top w:w="15" w:type="dxa"/>
              <w:left w:w="15" w:type="dxa"/>
              <w:bottom w:w="0" w:type="dxa"/>
              <w:right w:w="15" w:type="dxa"/>
            </w:tcMar>
            <w:vAlign w:val="bottom"/>
            <w:hideMark/>
          </w:tcPr>
          <w:p w14:paraId="0EA59347" w14:textId="77777777" w:rsidR="00230A53" w:rsidRPr="00230A53" w:rsidRDefault="00230A53" w:rsidP="00230A53">
            <w:pPr>
              <w:spacing w:after="0" w:line="240" w:lineRule="auto"/>
              <w:rPr>
                <w:b/>
                <w:bCs/>
              </w:rPr>
            </w:pPr>
            <w:r w:rsidRPr="00230A53">
              <w:rPr>
                <w:b/>
                <w:bCs/>
              </w:rPr>
              <w:t>£32,569.65</w:t>
            </w:r>
          </w:p>
        </w:tc>
        <w:tc>
          <w:tcPr>
            <w:tcW w:w="1905" w:type="dxa"/>
            <w:noWrap/>
            <w:tcMar>
              <w:top w:w="15" w:type="dxa"/>
              <w:left w:w="15" w:type="dxa"/>
              <w:bottom w:w="0" w:type="dxa"/>
              <w:right w:w="15" w:type="dxa"/>
            </w:tcMar>
            <w:vAlign w:val="bottom"/>
            <w:hideMark/>
          </w:tcPr>
          <w:p w14:paraId="010FC29E" w14:textId="77777777" w:rsidR="00230A53" w:rsidRPr="00230A53" w:rsidRDefault="00230A53" w:rsidP="00230A53">
            <w:pPr>
              <w:spacing w:after="0" w:line="240" w:lineRule="auto"/>
              <w:rPr>
                <w:b/>
                <w:bCs/>
              </w:rPr>
            </w:pPr>
            <w:r w:rsidRPr="00230A53">
              <w:rPr>
                <w:b/>
                <w:bCs/>
              </w:rPr>
              <w:t>£64,675.80</w:t>
            </w:r>
          </w:p>
        </w:tc>
        <w:tc>
          <w:tcPr>
            <w:tcW w:w="1102" w:type="dxa"/>
            <w:noWrap/>
            <w:tcMar>
              <w:top w:w="15" w:type="dxa"/>
              <w:left w:w="15" w:type="dxa"/>
              <w:bottom w:w="0" w:type="dxa"/>
              <w:right w:w="15" w:type="dxa"/>
            </w:tcMar>
            <w:vAlign w:val="bottom"/>
            <w:hideMark/>
          </w:tcPr>
          <w:p w14:paraId="54A9E73D" w14:textId="77777777" w:rsidR="00230A53" w:rsidRPr="00230A53" w:rsidRDefault="00230A53" w:rsidP="00230A53">
            <w:pPr>
              <w:spacing w:after="0" w:line="240" w:lineRule="auto"/>
              <w:rPr>
                <w:b/>
                <w:bCs/>
              </w:rPr>
            </w:pPr>
            <w:r w:rsidRPr="00230A53">
              <w:rPr>
                <w:b/>
                <w:bCs/>
              </w:rPr>
              <w:t>£97,245.45</w:t>
            </w:r>
          </w:p>
        </w:tc>
      </w:tr>
    </w:tbl>
    <w:p w14:paraId="764B122B" w14:textId="77777777" w:rsidR="00230A53" w:rsidRPr="00230A53" w:rsidRDefault="00230A53" w:rsidP="00230A53">
      <w:pPr>
        <w:spacing w:after="0" w:line="240" w:lineRule="auto"/>
        <w:rPr>
          <w:b/>
          <w:bCs/>
        </w:rPr>
      </w:pPr>
      <w:r w:rsidRPr="00230A53">
        <w:rPr>
          <w:b/>
          <w:bCs/>
        </w:rPr>
        <w:t> </w:t>
      </w:r>
    </w:p>
    <w:p w14:paraId="1AADA6C7" w14:textId="778E5E27" w:rsidR="00005B43" w:rsidRPr="00005B43" w:rsidRDefault="00230A53" w:rsidP="00005B43">
      <w:pPr>
        <w:spacing w:after="0" w:line="240" w:lineRule="auto"/>
      </w:pPr>
      <w:r w:rsidRPr="00A0498B">
        <w:t>Please note</w:t>
      </w:r>
      <w:r w:rsidR="00A0498B" w:rsidRPr="00A0498B">
        <w:t>, t</w:t>
      </w:r>
      <w:r w:rsidRPr="00A0498B">
        <w:t>hese figures are provided to the best of our knowledge but on occasion, we may have redeployed to other locations at short notice.</w:t>
      </w:r>
    </w:p>
    <w:p w14:paraId="5FF9528D" w14:textId="77777777" w:rsidR="00230A53" w:rsidRDefault="00230A53" w:rsidP="00005B43">
      <w:pPr>
        <w:spacing w:after="0" w:line="240" w:lineRule="auto"/>
        <w:rPr>
          <w:b/>
          <w:bCs/>
        </w:rPr>
      </w:pPr>
    </w:p>
    <w:p w14:paraId="74D3D804" w14:textId="74EDC05B" w:rsidR="00230A53" w:rsidRPr="00230A53" w:rsidRDefault="00230A53" w:rsidP="00005B43">
      <w:pPr>
        <w:spacing w:after="0" w:line="240" w:lineRule="auto"/>
        <w:rPr>
          <w:u w:val="single"/>
        </w:rPr>
      </w:pPr>
      <w:r w:rsidRPr="00230A53">
        <w:rPr>
          <w:u w:val="single"/>
        </w:rPr>
        <w:t>Question 4</w:t>
      </w:r>
    </w:p>
    <w:p w14:paraId="3B825866" w14:textId="77777777" w:rsidR="00230A53" w:rsidRPr="00230A53" w:rsidRDefault="00230A53" w:rsidP="00005B43">
      <w:pPr>
        <w:spacing w:after="0" w:line="240" w:lineRule="auto"/>
        <w:rPr>
          <w:b/>
          <w:bCs/>
        </w:rPr>
      </w:pPr>
    </w:p>
    <w:p w14:paraId="4A53F1D3" w14:textId="701ABCB5" w:rsidR="00005B43" w:rsidRPr="00005B43" w:rsidRDefault="00A0498B" w:rsidP="00005B43">
      <w:pPr>
        <w:spacing w:after="0" w:line="240" w:lineRule="auto"/>
      </w:pPr>
      <w:r>
        <w:t xml:space="preserve">The type of vehicles used were </w:t>
      </w:r>
      <w:proofErr w:type="gramStart"/>
      <w:r w:rsidR="00005B43" w:rsidRPr="00005B43">
        <w:t>16 seat</w:t>
      </w:r>
      <w:r>
        <w:t>er</w:t>
      </w:r>
      <w:proofErr w:type="gramEnd"/>
      <w:r w:rsidR="00005B43" w:rsidRPr="00005B43">
        <w:t xml:space="preserve"> minibuses</w:t>
      </w:r>
      <w:r w:rsidR="00230A53">
        <w:t>.</w:t>
      </w:r>
    </w:p>
    <w:p w14:paraId="72E57D0C" w14:textId="77777777" w:rsidR="00005B43" w:rsidRPr="00C83296" w:rsidRDefault="00005B43" w:rsidP="00C83296">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24F6" w14:textId="77777777" w:rsidR="000E391D" w:rsidRDefault="000E391D" w:rsidP="0029704C">
      <w:pPr>
        <w:spacing w:after="0" w:line="240" w:lineRule="auto"/>
      </w:pPr>
      <w:r>
        <w:separator/>
      </w:r>
    </w:p>
  </w:endnote>
  <w:endnote w:type="continuationSeparator" w:id="0">
    <w:p w14:paraId="289C46BB" w14:textId="77777777" w:rsidR="000E391D" w:rsidRDefault="000E391D" w:rsidP="0029704C">
      <w:pPr>
        <w:spacing w:after="0" w:line="240" w:lineRule="auto"/>
      </w:pPr>
      <w:r>
        <w:continuationSeparator/>
      </w:r>
    </w:p>
  </w:endnote>
  <w:endnote w:type="continuationNotice" w:id="1">
    <w:p w14:paraId="0187EFC5" w14:textId="77777777" w:rsidR="000E391D" w:rsidRDefault="000E3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2373" w14:textId="77777777" w:rsidR="000E391D" w:rsidRDefault="000E391D" w:rsidP="0029704C">
      <w:pPr>
        <w:spacing w:after="0" w:line="240" w:lineRule="auto"/>
      </w:pPr>
      <w:r>
        <w:separator/>
      </w:r>
    </w:p>
  </w:footnote>
  <w:footnote w:type="continuationSeparator" w:id="0">
    <w:p w14:paraId="6013E8D5" w14:textId="77777777" w:rsidR="000E391D" w:rsidRDefault="000E391D" w:rsidP="0029704C">
      <w:pPr>
        <w:spacing w:after="0" w:line="240" w:lineRule="auto"/>
      </w:pPr>
      <w:r>
        <w:continuationSeparator/>
      </w:r>
    </w:p>
  </w:footnote>
  <w:footnote w:type="continuationNotice" w:id="1">
    <w:p w14:paraId="5E56D746" w14:textId="77777777" w:rsidR="000E391D" w:rsidRDefault="000E3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76B37"/>
    <w:multiLevelType w:val="hybridMultilevel"/>
    <w:tmpl w:val="B3CC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2559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5B43"/>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391D"/>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0A53"/>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42B"/>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B70DC"/>
    <w:rsid w:val="009C2521"/>
    <w:rsid w:val="009C2579"/>
    <w:rsid w:val="009C283F"/>
    <w:rsid w:val="009D04C3"/>
    <w:rsid w:val="009D1AAA"/>
    <w:rsid w:val="009D1D8A"/>
    <w:rsid w:val="009D79AC"/>
    <w:rsid w:val="009E53BE"/>
    <w:rsid w:val="009E6357"/>
    <w:rsid w:val="009F0628"/>
    <w:rsid w:val="009F476E"/>
    <w:rsid w:val="00A0047F"/>
    <w:rsid w:val="00A0498B"/>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6381"/>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B412A0B2-4B3B-4762-9316-D2E4B4528373}"/>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1474</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2025-10-02T12:34:00Z</dcterms:created>
  <dcterms:modified xsi:type="dcterms:W3CDTF">2025-12-01T17:47:00Z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