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39868B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DA0623">
        <w:rPr>
          <w:rStyle w:val="normaltextrun"/>
          <w:rFonts w:ascii="Calibri" w:hAnsi="Calibri" w:cs="Calibri"/>
          <w:sz w:val="22"/>
          <w:szCs w:val="22"/>
        </w:rPr>
        <w:t>13</w:t>
      </w:r>
      <w:r w:rsidR="00DA0623" w:rsidRPr="00DA0623">
        <w:rPr>
          <w:rStyle w:val="normaltextrun"/>
          <w:rFonts w:ascii="Calibri" w:hAnsi="Calibri" w:cs="Calibri"/>
          <w:sz w:val="22"/>
          <w:szCs w:val="22"/>
          <w:vertAlign w:val="superscript"/>
        </w:rPr>
        <w:t>th</w:t>
      </w:r>
      <w:r w:rsidR="00DA0623">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5A9CA6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C441B">
        <w:rPr>
          <w:rStyle w:val="normaltextrun"/>
          <w:rFonts w:ascii="Calibri" w:hAnsi="Calibri" w:cs="Calibri"/>
          <w:b/>
          <w:bCs/>
          <w:color w:val="FF0000"/>
          <w:sz w:val="28"/>
          <w:szCs w:val="28"/>
        </w:rPr>
        <w:t>291</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6D10C79E" w14:textId="77777777" w:rsidR="008C441B" w:rsidRPr="008C441B" w:rsidRDefault="008C441B" w:rsidP="008C441B">
      <w:pPr>
        <w:spacing w:after="0" w:line="240" w:lineRule="auto"/>
        <w:rPr>
          <w:b/>
          <w:bCs/>
        </w:rPr>
      </w:pPr>
      <w:r w:rsidRPr="008C441B">
        <w:rPr>
          <w:b/>
          <w:bCs/>
        </w:rPr>
        <w:t xml:space="preserve">I am writing to submit a request under the Freedom of Information Act 2000 regarding the “Standard Plus” on board offering on Transport for </w:t>
      </w:r>
      <w:proofErr w:type="spellStart"/>
      <w:r w:rsidRPr="008C441B">
        <w:rPr>
          <w:b/>
          <w:bCs/>
        </w:rPr>
        <w:t>Wales’</w:t>
      </w:r>
      <w:proofErr w:type="spellEnd"/>
      <w:r w:rsidRPr="008C441B">
        <w:rPr>
          <w:b/>
          <w:bCs/>
        </w:rPr>
        <w:t xml:space="preserve"> Class 197 trains. I would be grateful if you could provide recorded information addressing the following questions:</w:t>
      </w:r>
    </w:p>
    <w:p w14:paraId="37C6E8B7" w14:textId="77777777" w:rsidR="008C441B" w:rsidRPr="008C441B" w:rsidRDefault="008C441B" w:rsidP="008C441B">
      <w:pPr>
        <w:spacing w:after="0" w:line="240" w:lineRule="auto"/>
        <w:rPr>
          <w:b/>
          <w:bCs/>
        </w:rPr>
      </w:pPr>
    </w:p>
    <w:p w14:paraId="64DA991B" w14:textId="77777777" w:rsidR="008C441B" w:rsidRPr="008C441B" w:rsidRDefault="008C441B" w:rsidP="008C441B">
      <w:pPr>
        <w:spacing w:after="0" w:line="240" w:lineRule="auto"/>
        <w:rPr>
          <w:b/>
          <w:bCs/>
        </w:rPr>
      </w:pPr>
      <w:r w:rsidRPr="008C441B">
        <w:rPr>
          <w:b/>
          <w:bCs/>
        </w:rPr>
        <w:t>1. On board Branded Materials</w:t>
      </w:r>
    </w:p>
    <w:p w14:paraId="31309ED7" w14:textId="77777777" w:rsidR="008C441B" w:rsidRPr="008C441B" w:rsidRDefault="008C441B" w:rsidP="008C441B">
      <w:pPr>
        <w:spacing w:after="0" w:line="240" w:lineRule="auto"/>
        <w:rPr>
          <w:b/>
          <w:bCs/>
        </w:rPr>
      </w:pPr>
      <w:r w:rsidRPr="008C441B">
        <w:rPr>
          <w:b/>
          <w:bCs/>
        </w:rPr>
        <w:t>What was the total cost of producing and applying Standard Plus branded stickers, labels, signage, or other onboard visual materials?</w:t>
      </w:r>
    </w:p>
    <w:p w14:paraId="314A6583" w14:textId="77777777" w:rsidR="008C441B" w:rsidRPr="008C441B" w:rsidRDefault="008C441B" w:rsidP="008C441B">
      <w:pPr>
        <w:spacing w:after="0" w:line="240" w:lineRule="auto"/>
        <w:rPr>
          <w:b/>
          <w:bCs/>
        </w:rPr>
      </w:pPr>
    </w:p>
    <w:p w14:paraId="0E253067" w14:textId="77777777" w:rsidR="008C441B" w:rsidRPr="008C441B" w:rsidRDefault="008C441B" w:rsidP="008C441B">
      <w:pPr>
        <w:spacing w:after="0" w:line="240" w:lineRule="auto"/>
        <w:rPr>
          <w:b/>
          <w:bCs/>
        </w:rPr>
      </w:pPr>
      <w:r w:rsidRPr="008C441B">
        <w:rPr>
          <w:b/>
          <w:bCs/>
        </w:rPr>
        <w:t>Please provide any available cost breakdown.</w:t>
      </w:r>
    </w:p>
    <w:p w14:paraId="43BEA2C7" w14:textId="77777777" w:rsidR="008C441B" w:rsidRPr="008C441B" w:rsidRDefault="008C441B" w:rsidP="008C441B">
      <w:pPr>
        <w:spacing w:after="0" w:line="240" w:lineRule="auto"/>
        <w:rPr>
          <w:b/>
          <w:bCs/>
        </w:rPr>
      </w:pPr>
    </w:p>
    <w:p w14:paraId="03779173" w14:textId="77777777" w:rsidR="008C441B" w:rsidRPr="008C441B" w:rsidRDefault="008C441B" w:rsidP="008C441B">
      <w:pPr>
        <w:spacing w:after="0" w:line="240" w:lineRule="auto"/>
        <w:rPr>
          <w:b/>
          <w:bCs/>
        </w:rPr>
      </w:pPr>
      <w:r w:rsidRPr="008C441B">
        <w:rPr>
          <w:b/>
          <w:bCs/>
        </w:rPr>
        <w:t>2. Wider Marketing</w:t>
      </w:r>
    </w:p>
    <w:p w14:paraId="1D13A47F" w14:textId="77777777" w:rsidR="008C441B" w:rsidRPr="008C441B" w:rsidRDefault="008C441B" w:rsidP="008C441B">
      <w:pPr>
        <w:spacing w:after="0" w:line="240" w:lineRule="auto"/>
        <w:rPr>
          <w:b/>
          <w:bCs/>
        </w:rPr>
      </w:pPr>
      <w:r w:rsidRPr="008C441B">
        <w:rPr>
          <w:b/>
          <w:bCs/>
        </w:rPr>
        <w:t>What was the total cost of all wider marketing and promotional activity for Standard Plus (including print, digital, PR, social media, etc.)?</w:t>
      </w:r>
    </w:p>
    <w:p w14:paraId="159A6D10" w14:textId="77777777" w:rsidR="008C441B" w:rsidRPr="008C441B" w:rsidRDefault="008C441B" w:rsidP="008C441B">
      <w:pPr>
        <w:spacing w:after="0" w:line="240" w:lineRule="auto"/>
        <w:rPr>
          <w:b/>
          <w:bCs/>
        </w:rPr>
      </w:pPr>
    </w:p>
    <w:p w14:paraId="6056B8E1" w14:textId="77777777" w:rsidR="008C441B" w:rsidRPr="008C441B" w:rsidRDefault="008C441B" w:rsidP="008C441B">
      <w:pPr>
        <w:spacing w:after="0" w:line="240" w:lineRule="auto"/>
        <w:rPr>
          <w:b/>
          <w:bCs/>
        </w:rPr>
      </w:pPr>
      <w:r w:rsidRPr="008C441B">
        <w:rPr>
          <w:b/>
          <w:bCs/>
        </w:rPr>
        <w:t>Please provide any available cost breakdown by category.</w:t>
      </w:r>
    </w:p>
    <w:p w14:paraId="79FF872C" w14:textId="77777777" w:rsidR="008C441B" w:rsidRPr="008C441B" w:rsidRDefault="008C441B" w:rsidP="008C441B">
      <w:pPr>
        <w:spacing w:after="0" w:line="240" w:lineRule="auto"/>
        <w:rPr>
          <w:b/>
          <w:bCs/>
        </w:rPr>
      </w:pPr>
    </w:p>
    <w:p w14:paraId="5AF1915A" w14:textId="77777777" w:rsidR="008C441B" w:rsidRPr="008C441B" w:rsidRDefault="008C441B" w:rsidP="008C441B">
      <w:pPr>
        <w:spacing w:after="0" w:line="240" w:lineRule="auto"/>
        <w:rPr>
          <w:b/>
          <w:bCs/>
        </w:rPr>
      </w:pPr>
      <w:r w:rsidRPr="008C441B">
        <w:rPr>
          <w:b/>
          <w:bCs/>
        </w:rPr>
        <w:t>3. Carriage Modifications and Seating</w:t>
      </w:r>
    </w:p>
    <w:p w14:paraId="006218F8" w14:textId="77777777" w:rsidR="008C441B" w:rsidRPr="008C441B" w:rsidRDefault="008C441B" w:rsidP="008C441B">
      <w:pPr>
        <w:spacing w:after="0" w:line="240" w:lineRule="auto"/>
        <w:rPr>
          <w:b/>
          <w:bCs/>
        </w:rPr>
      </w:pPr>
      <w:r w:rsidRPr="008C441B">
        <w:rPr>
          <w:b/>
          <w:bCs/>
        </w:rPr>
        <w:t>What was the total cost of upgraded seats and internal modifications in the Standard Plus area?</w:t>
      </w:r>
    </w:p>
    <w:p w14:paraId="4E648B74" w14:textId="77777777" w:rsidR="008C441B" w:rsidRPr="008C441B" w:rsidRDefault="008C441B" w:rsidP="008C441B">
      <w:pPr>
        <w:spacing w:after="0" w:line="240" w:lineRule="auto"/>
        <w:rPr>
          <w:b/>
          <w:bCs/>
        </w:rPr>
      </w:pPr>
    </w:p>
    <w:p w14:paraId="0246C52D" w14:textId="77777777" w:rsidR="008C441B" w:rsidRPr="008C441B" w:rsidRDefault="008C441B" w:rsidP="008C441B">
      <w:pPr>
        <w:spacing w:after="0" w:line="240" w:lineRule="auto"/>
        <w:rPr>
          <w:b/>
          <w:bCs/>
        </w:rPr>
      </w:pPr>
      <w:r w:rsidRPr="008C441B">
        <w:rPr>
          <w:b/>
          <w:bCs/>
        </w:rPr>
        <w:t>What was the cost per carriage of these modifications, where available?</w:t>
      </w:r>
    </w:p>
    <w:p w14:paraId="7006FDA7" w14:textId="77777777" w:rsidR="008C441B" w:rsidRPr="008C441B" w:rsidRDefault="008C441B" w:rsidP="008C441B">
      <w:pPr>
        <w:spacing w:after="0" w:line="240" w:lineRule="auto"/>
        <w:rPr>
          <w:b/>
          <w:bCs/>
        </w:rPr>
      </w:pPr>
    </w:p>
    <w:p w14:paraId="573DD340" w14:textId="77777777" w:rsidR="008C441B" w:rsidRPr="008C441B" w:rsidRDefault="008C441B" w:rsidP="008C441B">
      <w:pPr>
        <w:spacing w:after="0" w:line="240" w:lineRule="auto"/>
        <w:rPr>
          <w:b/>
          <w:bCs/>
        </w:rPr>
      </w:pPr>
      <w:r w:rsidRPr="008C441B">
        <w:rPr>
          <w:b/>
          <w:bCs/>
        </w:rPr>
        <w:t>What was the cost difference between a Standard Plus carriage and a standard Class 197 carriage?</w:t>
      </w:r>
    </w:p>
    <w:p w14:paraId="79DE1816" w14:textId="77777777" w:rsidR="008C441B" w:rsidRPr="008C441B" w:rsidRDefault="008C441B" w:rsidP="008C441B">
      <w:pPr>
        <w:spacing w:after="0" w:line="240" w:lineRule="auto"/>
        <w:rPr>
          <w:b/>
          <w:bCs/>
        </w:rPr>
      </w:pPr>
    </w:p>
    <w:p w14:paraId="584EFC07" w14:textId="77777777" w:rsidR="008C441B" w:rsidRPr="008C441B" w:rsidRDefault="008C441B" w:rsidP="008C441B">
      <w:pPr>
        <w:spacing w:after="0" w:line="240" w:lineRule="auto"/>
        <w:rPr>
          <w:b/>
          <w:bCs/>
        </w:rPr>
      </w:pPr>
      <w:r w:rsidRPr="008C441B">
        <w:rPr>
          <w:b/>
          <w:bCs/>
        </w:rPr>
        <w:t>4. Discontinuation of Standard Plus</w:t>
      </w:r>
    </w:p>
    <w:p w14:paraId="69277215" w14:textId="77777777" w:rsidR="008C441B" w:rsidRPr="008C441B" w:rsidRDefault="008C441B" w:rsidP="008C441B">
      <w:pPr>
        <w:spacing w:after="0" w:line="240" w:lineRule="auto"/>
        <w:rPr>
          <w:b/>
          <w:bCs/>
        </w:rPr>
      </w:pPr>
      <w:r w:rsidRPr="008C441B">
        <w:rPr>
          <w:b/>
          <w:bCs/>
        </w:rPr>
        <w:t>What are the recorded reasons for discontinuing the Standard Plus offering?</w:t>
      </w:r>
    </w:p>
    <w:p w14:paraId="29506BCB" w14:textId="77777777" w:rsidR="008C441B" w:rsidRPr="008C441B" w:rsidRDefault="008C441B" w:rsidP="008C441B">
      <w:pPr>
        <w:spacing w:after="0" w:line="240" w:lineRule="auto"/>
        <w:rPr>
          <w:b/>
          <w:bCs/>
        </w:rPr>
      </w:pPr>
    </w:p>
    <w:p w14:paraId="0D440E43" w14:textId="77777777" w:rsidR="008C441B" w:rsidRPr="008C441B" w:rsidRDefault="008C441B" w:rsidP="008C441B">
      <w:pPr>
        <w:spacing w:after="0" w:line="240" w:lineRule="auto"/>
        <w:rPr>
          <w:b/>
          <w:bCs/>
        </w:rPr>
      </w:pPr>
      <w:r w:rsidRPr="008C441B">
        <w:rPr>
          <w:b/>
          <w:bCs/>
        </w:rPr>
        <w:t>Can you confirm whether the discontinuation was due to the absence of an accessible toilet in the designated Standard Plus area?</w:t>
      </w:r>
    </w:p>
    <w:p w14:paraId="06E3C6B5" w14:textId="77777777" w:rsidR="008C441B" w:rsidRPr="008C441B" w:rsidRDefault="008C441B" w:rsidP="008C441B">
      <w:pPr>
        <w:spacing w:after="0" w:line="240" w:lineRule="auto"/>
        <w:rPr>
          <w:b/>
          <w:bCs/>
        </w:rPr>
      </w:pPr>
    </w:p>
    <w:p w14:paraId="6B4AC13A" w14:textId="77777777" w:rsidR="008C441B" w:rsidRPr="008C441B" w:rsidRDefault="008C441B" w:rsidP="008C441B">
      <w:pPr>
        <w:spacing w:after="0" w:line="240" w:lineRule="auto"/>
        <w:rPr>
          <w:b/>
          <w:bCs/>
        </w:rPr>
      </w:pPr>
      <w:r w:rsidRPr="008C441B">
        <w:rPr>
          <w:b/>
          <w:bCs/>
        </w:rPr>
        <w:t>If applicable, what options, assessments, or mitigation measures were considered prior to this decision?</w:t>
      </w:r>
    </w:p>
    <w:p w14:paraId="2DE3C61B" w14:textId="77777777" w:rsidR="008C441B" w:rsidRPr="008C441B" w:rsidRDefault="008C441B" w:rsidP="008C441B">
      <w:pPr>
        <w:spacing w:after="0" w:line="240" w:lineRule="auto"/>
        <w:rPr>
          <w:b/>
          <w:bCs/>
        </w:rPr>
      </w:pPr>
    </w:p>
    <w:p w14:paraId="1633D35A" w14:textId="77777777" w:rsidR="008C441B" w:rsidRPr="008C441B" w:rsidRDefault="008C441B" w:rsidP="008C441B">
      <w:pPr>
        <w:spacing w:after="0" w:line="240" w:lineRule="auto"/>
        <w:rPr>
          <w:b/>
          <w:bCs/>
        </w:rPr>
      </w:pPr>
      <w:r w:rsidRPr="008C441B">
        <w:rPr>
          <w:b/>
          <w:bCs/>
        </w:rPr>
        <w:t>5. Accessibility and Compliance</w:t>
      </w:r>
    </w:p>
    <w:p w14:paraId="5D3FD97E" w14:textId="77777777" w:rsidR="008C441B" w:rsidRPr="008C441B" w:rsidRDefault="008C441B" w:rsidP="008C441B">
      <w:pPr>
        <w:spacing w:after="0" w:line="240" w:lineRule="auto"/>
        <w:rPr>
          <w:b/>
          <w:bCs/>
        </w:rPr>
      </w:pPr>
      <w:r w:rsidRPr="008C441B">
        <w:rPr>
          <w:b/>
          <w:bCs/>
        </w:rPr>
        <w:t>Please provide any accessibility or equality impact assessments relating to the Standard Plus layout and toilet provision.</w:t>
      </w:r>
    </w:p>
    <w:p w14:paraId="7587A0A5" w14:textId="77777777" w:rsidR="008C441B" w:rsidRPr="008C441B" w:rsidRDefault="008C441B" w:rsidP="008C441B">
      <w:pPr>
        <w:spacing w:after="0" w:line="240" w:lineRule="auto"/>
        <w:rPr>
          <w:b/>
          <w:bCs/>
        </w:rPr>
      </w:pPr>
    </w:p>
    <w:p w14:paraId="6F2ACD07" w14:textId="77777777" w:rsidR="008C441B" w:rsidRPr="008C441B" w:rsidRDefault="008C441B" w:rsidP="008C441B">
      <w:pPr>
        <w:spacing w:after="0" w:line="240" w:lineRule="auto"/>
        <w:rPr>
          <w:b/>
          <w:bCs/>
        </w:rPr>
      </w:pPr>
      <w:r w:rsidRPr="008C441B">
        <w:rPr>
          <w:b/>
          <w:bCs/>
        </w:rPr>
        <w:t>6. Design and Approval Despite Lack of Accessible Toilet</w:t>
      </w:r>
    </w:p>
    <w:p w14:paraId="580885BE" w14:textId="77777777" w:rsidR="008C441B" w:rsidRPr="008C441B" w:rsidRDefault="008C441B" w:rsidP="008C441B">
      <w:pPr>
        <w:spacing w:after="0" w:line="240" w:lineRule="auto"/>
        <w:rPr>
          <w:b/>
          <w:bCs/>
        </w:rPr>
      </w:pPr>
      <w:r w:rsidRPr="008C441B">
        <w:rPr>
          <w:b/>
          <w:bCs/>
        </w:rPr>
        <w:t>At what stage was the absence of an accessible toilet in the Standard Plus area identified?</w:t>
      </w:r>
    </w:p>
    <w:p w14:paraId="59FFC222" w14:textId="77777777" w:rsidR="008C441B" w:rsidRPr="008C441B" w:rsidRDefault="008C441B" w:rsidP="008C441B">
      <w:pPr>
        <w:spacing w:after="0" w:line="240" w:lineRule="auto"/>
        <w:rPr>
          <w:b/>
          <w:bCs/>
        </w:rPr>
      </w:pPr>
    </w:p>
    <w:p w14:paraId="43C772B6" w14:textId="77777777" w:rsidR="008C441B" w:rsidRPr="008C441B" w:rsidRDefault="008C441B" w:rsidP="008C441B">
      <w:pPr>
        <w:spacing w:after="0" w:line="240" w:lineRule="auto"/>
        <w:rPr>
          <w:b/>
          <w:bCs/>
        </w:rPr>
      </w:pPr>
      <w:r w:rsidRPr="008C441B">
        <w:rPr>
          <w:b/>
          <w:bCs/>
        </w:rPr>
        <w:t>Who signed off the Standard Plus layout in its delivered form?</w:t>
      </w:r>
    </w:p>
    <w:p w14:paraId="55887A38" w14:textId="77777777" w:rsidR="008C441B" w:rsidRPr="008C441B" w:rsidRDefault="008C441B" w:rsidP="008C441B">
      <w:pPr>
        <w:spacing w:after="0" w:line="240" w:lineRule="auto"/>
        <w:rPr>
          <w:b/>
          <w:bCs/>
        </w:rPr>
      </w:pPr>
    </w:p>
    <w:p w14:paraId="6FC5A8D5" w14:textId="77777777" w:rsidR="008C441B" w:rsidRPr="008C441B" w:rsidRDefault="008C441B" w:rsidP="008C441B">
      <w:pPr>
        <w:spacing w:after="0" w:line="240" w:lineRule="auto"/>
        <w:rPr>
          <w:b/>
          <w:bCs/>
        </w:rPr>
      </w:pPr>
      <w:r w:rsidRPr="008C441B">
        <w:rPr>
          <w:b/>
          <w:bCs/>
        </w:rPr>
        <w:t>What was the recorded rationale for proceeding with the Standard Plus concept despite this issue?</w:t>
      </w:r>
    </w:p>
    <w:p w14:paraId="0CEAE234" w14:textId="77777777" w:rsidR="008C441B" w:rsidRPr="008C441B" w:rsidRDefault="008C441B" w:rsidP="008C441B">
      <w:pPr>
        <w:spacing w:after="0" w:line="240" w:lineRule="auto"/>
        <w:rPr>
          <w:b/>
          <w:bCs/>
        </w:rPr>
      </w:pPr>
    </w:p>
    <w:p w14:paraId="29F48AE2" w14:textId="77777777" w:rsidR="008C441B" w:rsidRPr="008C441B" w:rsidRDefault="008C441B" w:rsidP="008C441B">
      <w:pPr>
        <w:spacing w:after="0" w:line="240" w:lineRule="auto"/>
        <w:rPr>
          <w:b/>
          <w:bCs/>
        </w:rPr>
      </w:pPr>
      <w:r w:rsidRPr="008C441B">
        <w:rPr>
          <w:b/>
          <w:bCs/>
        </w:rPr>
        <w:lastRenderedPageBreak/>
        <w:t>Please provide any internal correspondence, decision logs, or briefing papers discussing risks, compliance considerations, or alternative options.</w:t>
      </w:r>
    </w:p>
    <w:p w14:paraId="2580B71A" w14:textId="77777777" w:rsidR="008C441B" w:rsidRPr="008C441B" w:rsidRDefault="008C441B" w:rsidP="008C441B">
      <w:pPr>
        <w:spacing w:after="0" w:line="240" w:lineRule="auto"/>
        <w:rPr>
          <w:b/>
          <w:bCs/>
        </w:rPr>
      </w:pPr>
    </w:p>
    <w:p w14:paraId="55FD205C" w14:textId="77777777" w:rsidR="008C441B" w:rsidRPr="008C441B" w:rsidRDefault="008C441B" w:rsidP="008C441B">
      <w:pPr>
        <w:spacing w:after="0" w:line="240" w:lineRule="auto"/>
        <w:rPr>
          <w:b/>
          <w:bCs/>
        </w:rPr>
      </w:pPr>
      <w:r w:rsidRPr="008C441B">
        <w:rPr>
          <w:b/>
          <w:bCs/>
        </w:rPr>
        <w:t>7. Decision-Making and Accountability</w:t>
      </w:r>
    </w:p>
    <w:p w14:paraId="6ACF40F0" w14:textId="77777777" w:rsidR="008C441B" w:rsidRPr="008C441B" w:rsidRDefault="008C441B" w:rsidP="008C441B">
      <w:pPr>
        <w:spacing w:after="0" w:line="240" w:lineRule="auto"/>
        <w:rPr>
          <w:b/>
          <w:bCs/>
        </w:rPr>
      </w:pPr>
      <w:r w:rsidRPr="008C441B">
        <w:rPr>
          <w:b/>
          <w:bCs/>
        </w:rPr>
        <w:t>Who approved the Standard Plus design, budget, and rollout?</w:t>
      </w:r>
    </w:p>
    <w:p w14:paraId="2BFB1706" w14:textId="77777777" w:rsidR="008C441B" w:rsidRPr="008C441B" w:rsidRDefault="008C441B" w:rsidP="008C441B">
      <w:pPr>
        <w:spacing w:after="0" w:line="240" w:lineRule="auto"/>
        <w:rPr>
          <w:b/>
          <w:bCs/>
        </w:rPr>
      </w:pPr>
    </w:p>
    <w:p w14:paraId="5AAF00F1" w14:textId="77777777" w:rsidR="008C441B" w:rsidRPr="008C441B" w:rsidRDefault="008C441B" w:rsidP="008C441B">
      <w:pPr>
        <w:spacing w:after="0" w:line="240" w:lineRule="auto"/>
        <w:rPr>
          <w:b/>
          <w:bCs/>
        </w:rPr>
      </w:pPr>
      <w:r w:rsidRPr="008C441B">
        <w:rPr>
          <w:b/>
          <w:bCs/>
        </w:rPr>
        <w:t>Who was responsible for the decision to discontinue Standard Plus?</w:t>
      </w:r>
    </w:p>
    <w:p w14:paraId="06C40D7F" w14:textId="77777777" w:rsidR="008C441B" w:rsidRPr="008C441B" w:rsidRDefault="008C441B" w:rsidP="008C441B">
      <w:pPr>
        <w:spacing w:after="0" w:line="240" w:lineRule="auto"/>
        <w:rPr>
          <w:b/>
          <w:bCs/>
        </w:rPr>
      </w:pPr>
    </w:p>
    <w:p w14:paraId="2A4682DA" w14:textId="77777777" w:rsidR="008C441B" w:rsidRPr="008C441B" w:rsidRDefault="008C441B" w:rsidP="008C441B">
      <w:pPr>
        <w:spacing w:after="0" w:line="240" w:lineRule="auto"/>
        <w:rPr>
          <w:b/>
          <w:bCs/>
        </w:rPr>
      </w:pPr>
      <w:r w:rsidRPr="008C441B">
        <w:rPr>
          <w:b/>
          <w:bCs/>
        </w:rPr>
        <w:t>What rationale or records exist showing how and why money was spent on the offering despite the known limitations, including the lack of an accessible toilet?</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B9241E" w:rsidRDefault="00C83296" w:rsidP="00C83296">
      <w:pPr>
        <w:spacing w:after="0" w:line="240" w:lineRule="auto"/>
        <w:rPr>
          <w:u w:val="single"/>
        </w:rPr>
      </w:pPr>
    </w:p>
    <w:p w14:paraId="5A829CD8" w14:textId="77777777" w:rsidR="00B9241E" w:rsidRDefault="00B9241E" w:rsidP="000A38B0">
      <w:pPr>
        <w:spacing w:after="0" w:line="240" w:lineRule="auto"/>
        <w:rPr>
          <w:b/>
          <w:bCs/>
        </w:rPr>
      </w:pPr>
      <w:r w:rsidRPr="00B9241E">
        <w:rPr>
          <w:u w:val="single"/>
        </w:rPr>
        <w:t>Question 1</w:t>
      </w:r>
    </w:p>
    <w:p w14:paraId="16ECAA11" w14:textId="77777777" w:rsidR="00B9241E" w:rsidRDefault="00B9241E" w:rsidP="000A38B0">
      <w:pPr>
        <w:spacing w:after="0" w:line="240" w:lineRule="auto"/>
        <w:rPr>
          <w:b/>
          <w:bCs/>
        </w:rPr>
      </w:pPr>
    </w:p>
    <w:p w14:paraId="71D0B986" w14:textId="5FC80174" w:rsidR="000A38B0" w:rsidRPr="000A38B0" w:rsidRDefault="000A38B0" w:rsidP="000A38B0">
      <w:pPr>
        <w:spacing w:after="0" w:line="240" w:lineRule="auto"/>
      </w:pPr>
      <w:r w:rsidRPr="000A38B0">
        <w:t xml:space="preserve">Total Cost was £29,000 which includes necessary engineering change costs, label design and fitment. </w:t>
      </w:r>
    </w:p>
    <w:p w14:paraId="6F6A5066" w14:textId="5B37FCBB" w:rsidR="000A38B0" w:rsidRPr="000A38B0" w:rsidRDefault="000A38B0" w:rsidP="000A38B0">
      <w:pPr>
        <w:spacing w:after="0" w:line="240" w:lineRule="auto"/>
      </w:pPr>
    </w:p>
    <w:p w14:paraId="5C9B49AC" w14:textId="77777777" w:rsidR="000A38B0" w:rsidRDefault="000A38B0" w:rsidP="000A38B0">
      <w:pPr>
        <w:spacing w:after="0" w:line="240" w:lineRule="auto"/>
      </w:pPr>
      <w:r w:rsidRPr="000A38B0">
        <w:t xml:space="preserve">Engineering costs accounted for approximately one third of the total cost and label design and fitment accounted for the remaining two thirds. </w:t>
      </w:r>
    </w:p>
    <w:p w14:paraId="06DB6608" w14:textId="77777777" w:rsidR="00B9241E" w:rsidRPr="000A38B0" w:rsidRDefault="00B9241E" w:rsidP="000A38B0">
      <w:pPr>
        <w:spacing w:after="0" w:line="240" w:lineRule="auto"/>
      </w:pPr>
    </w:p>
    <w:p w14:paraId="1828C4F0" w14:textId="77777777" w:rsidR="00B9241E" w:rsidRPr="00B9241E" w:rsidRDefault="00B9241E" w:rsidP="000A38B0">
      <w:pPr>
        <w:spacing w:after="0" w:line="240" w:lineRule="auto"/>
        <w:rPr>
          <w:u w:val="single"/>
        </w:rPr>
      </w:pPr>
      <w:r w:rsidRPr="00B9241E">
        <w:rPr>
          <w:u w:val="single"/>
        </w:rPr>
        <w:t>Question 2</w:t>
      </w:r>
    </w:p>
    <w:p w14:paraId="04CB2EA5" w14:textId="77777777" w:rsidR="00B9241E" w:rsidRDefault="00B9241E" w:rsidP="000A38B0">
      <w:pPr>
        <w:spacing w:after="0" w:line="240" w:lineRule="auto"/>
        <w:rPr>
          <w:b/>
          <w:bCs/>
        </w:rPr>
      </w:pPr>
    </w:p>
    <w:p w14:paraId="6C9CC99A" w14:textId="6F17F2D1" w:rsidR="000A38B0" w:rsidRPr="000A38B0" w:rsidRDefault="000A38B0" w:rsidP="000A38B0">
      <w:pPr>
        <w:spacing w:after="0" w:line="240" w:lineRule="auto"/>
      </w:pPr>
      <w:r w:rsidRPr="000A38B0">
        <w:t xml:space="preserve">As Standard Plus was not launched there are no recorded costs for marketing and promotional activities. </w:t>
      </w:r>
    </w:p>
    <w:p w14:paraId="06EFECB2" w14:textId="77777777" w:rsidR="00F2373B" w:rsidRDefault="00F2373B" w:rsidP="000A38B0">
      <w:pPr>
        <w:spacing w:after="0" w:line="240" w:lineRule="auto"/>
        <w:rPr>
          <w:b/>
          <w:bCs/>
        </w:rPr>
      </w:pPr>
    </w:p>
    <w:p w14:paraId="5EA3BB07" w14:textId="77777777" w:rsidR="00F2373B" w:rsidRPr="00F2373B" w:rsidRDefault="00F2373B" w:rsidP="000A38B0">
      <w:pPr>
        <w:spacing w:after="0" w:line="240" w:lineRule="auto"/>
        <w:rPr>
          <w:u w:val="single"/>
        </w:rPr>
      </w:pPr>
      <w:r w:rsidRPr="00F2373B">
        <w:rPr>
          <w:u w:val="single"/>
        </w:rPr>
        <w:t>Question 3</w:t>
      </w:r>
    </w:p>
    <w:p w14:paraId="35D18C4A" w14:textId="77777777" w:rsidR="00F2373B" w:rsidRDefault="00F2373B" w:rsidP="000A38B0">
      <w:pPr>
        <w:spacing w:after="0" w:line="240" w:lineRule="auto"/>
        <w:rPr>
          <w:b/>
          <w:bCs/>
        </w:rPr>
      </w:pPr>
    </w:p>
    <w:p w14:paraId="44948DE8" w14:textId="4A4AE21F" w:rsidR="000A38B0" w:rsidRPr="000A38B0" w:rsidRDefault="000A38B0" w:rsidP="000A38B0">
      <w:pPr>
        <w:spacing w:after="0" w:line="240" w:lineRule="auto"/>
      </w:pPr>
      <w:r w:rsidRPr="000A38B0">
        <w:t xml:space="preserve">There have been no modifications to upgrade seats or change the layout of the ‘first </w:t>
      </w:r>
      <w:proofErr w:type="spellStart"/>
      <w:r w:rsidRPr="000A38B0">
        <w:t>class’</w:t>
      </w:r>
      <w:proofErr w:type="spellEnd"/>
      <w:r w:rsidRPr="000A38B0">
        <w:t xml:space="preserve"> area. The layout of the unit and the specification of seats was agreed during the procurement of the fleet. </w:t>
      </w:r>
    </w:p>
    <w:p w14:paraId="17DBE6D4" w14:textId="77777777" w:rsidR="00F2373B" w:rsidRDefault="00F2373B" w:rsidP="000A38B0">
      <w:pPr>
        <w:spacing w:after="0" w:line="240" w:lineRule="auto"/>
        <w:rPr>
          <w:b/>
          <w:bCs/>
        </w:rPr>
      </w:pPr>
    </w:p>
    <w:p w14:paraId="4568081B" w14:textId="5755F66F" w:rsidR="000A38B0" w:rsidRPr="000A38B0" w:rsidRDefault="000A38B0" w:rsidP="000A38B0">
      <w:pPr>
        <w:spacing w:after="0" w:line="240" w:lineRule="auto"/>
      </w:pPr>
      <w:r w:rsidRPr="000A38B0">
        <w:t xml:space="preserve">There were no modifications beyond the labelling that was implemented as stated above. </w:t>
      </w:r>
    </w:p>
    <w:p w14:paraId="3A067E59" w14:textId="77777777" w:rsidR="00F2373B" w:rsidRDefault="00F2373B" w:rsidP="000A38B0">
      <w:pPr>
        <w:spacing w:after="0" w:line="240" w:lineRule="auto"/>
        <w:rPr>
          <w:b/>
          <w:bCs/>
        </w:rPr>
      </w:pPr>
    </w:p>
    <w:p w14:paraId="35DA769E" w14:textId="05E840B1" w:rsidR="000A38B0" w:rsidRDefault="000A38B0" w:rsidP="000A38B0">
      <w:pPr>
        <w:spacing w:after="0" w:line="240" w:lineRule="auto"/>
      </w:pPr>
      <w:r w:rsidRPr="000A38B0">
        <w:t xml:space="preserve">There is no per carriage cost. It is standard practice to purchase rolling stock as units comprising of an agreed number of carriages. </w:t>
      </w:r>
    </w:p>
    <w:p w14:paraId="08A59477" w14:textId="77777777" w:rsidR="009724D5" w:rsidRDefault="009724D5" w:rsidP="000A38B0">
      <w:pPr>
        <w:spacing w:after="0" w:line="240" w:lineRule="auto"/>
      </w:pPr>
    </w:p>
    <w:p w14:paraId="70E8769B" w14:textId="1A01AD90" w:rsidR="009724D5" w:rsidRDefault="009724D5" w:rsidP="000A38B0">
      <w:pPr>
        <w:spacing w:after="0" w:line="240" w:lineRule="auto"/>
      </w:pPr>
      <w:r>
        <w:t>The cost of the rolling stock is withheld by virtue of the following exemption -</w:t>
      </w:r>
    </w:p>
    <w:p w14:paraId="1905580E" w14:textId="7C65D777" w:rsidR="000A38B0" w:rsidRDefault="000A38B0" w:rsidP="000A38B0">
      <w:pPr>
        <w:spacing w:after="0" w:line="240" w:lineRule="auto"/>
      </w:pPr>
    </w:p>
    <w:p w14:paraId="6D3F4147" w14:textId="77777777" w:rsidR="009724D5" w:rsidRDefault="009724D5" w:rsidP="009724D5">
      <w:pPr>
        <w:spacing w:after="0" w:line="240" w:lineRule="auto"/>
        <w:rPr>
          <w:b/>
          <w:bCs/>
        </w:rPr>
      </w:pPr>
      <w:r>
        <w:rPr>
          <w:b/>
          <w:bCs/>
        </w:rPr>
        <w:t>Section 43 – Commercial Interests</w:t>
      </w:r>
    </w:p>
    <w:p w14:paraId="2EB839F4" w14:textId="77777777" w:rsidR="009724D5" w:rsidRDefault="009724D5" w:rsidP="009724D5">
      <w:pPr>
        <w:spacing w:after="0" w:line="240" w:lineRule="auto"/>
        <w:rPr>
          <w:b/>
          <w:bCs/>
        </w:rPr>
      </w:pPr>
    </w:p>
    <w:p w14:paraId="6C94148A" w14:textId="77777777" w:rsidR="009724D5" w:rsidRDefault="009724D5" w:rsidP="009724D5">
      <w:pPr>
        <w:spacing w:after="0" w:line="240" w:lineRule="auto"/>
        <w:rPr>
          <w:rFonts w:cstheme="minorHAnsi"/>
        </w:rPr>
      </w:pPr>
      <w:r w:rsidRPr="00E501F1">
        <w:rPr>
          <w:rFonts w:cstheme="minorHAnsi"/>
        </w:rPr>
        <w:t>Section 43 is a qualified, prejudice-based exemption which requires the authority to consider the public interest in disclosure.</w:t>
      </w:r>
    </w:p>
    <w:p w14:paraId="07E4D63E" w14:textId="77777777" w:rsidR="009724D5" w:rsidRPr="00E501F1" w:rsidRDefault="009724D5" w:rsidP="009724D5">
      <w:pPr>
        <w:spacing w:after="0" w:line="240" w:lineRule="auto"/>
        <w:rPr>
          <w:rFonts w:cstheme="minorHAnsi"/>
        </w:rPr>
      </w:pPr>
    </w:p>
    <w:p w14:paraId="70FBAF69" w14:textId="77777777" w:rsidR="009724D5" w:rsidRDefault="009724D5" w:rsidP="009724D5">
      <w:pPr>
        <w:spacing w:after="0" w:line="240" w:lineRule="auto"/>
        <w:rPr>
          <w:rFonts w:cstheme="minorHAnsi"/>
          <w:b/>
          <w:bCs/>
        </w:rPr>
      </w:pPr>
      <w:r w:rsidRPr="00E501F1">
        <w:rPr>
          <w:rFonts w:cstheme="minorHAnsi"/>
          <w:b/>
          <w:bCs/>
        </w:rPr>
        <w:t>Factors Favouring Disclosure</w:t>
      </w:r>
    </w:p>
    <w:p w14:paraId="02853367" w14:textId="77777777" w:rsidR="009724D5" w:rsidRPr="00E501F1" w:rsidRDefault="009724D5" w:rsidP="009724D5">
      <w:pPr>
        <w:spacing w:after="0" w:line="240" w:lineRule="auto"/>
        <w:rPr>
          <w:rFonts w:cstheme="minorHAnsi"/>
          <w:b/>
          <w:bCs/>
        </w:rPr>
      </w:pPr>
    </w:p>
    <w:p w14:paraId="4B11AB64" w14:textId="77777777" w:rsidR="009724D5" w:rsidRDefault="009724D5" w:rsidP="009724D5">
      <w:pPr>
        <w:spacing w:after="0" w:line="240" w:lineRule="auto"/>
        <w:rPr>
          <w:rFonts w:cstheme="minorHAnsi"/>
        </w:rPr>
      </w:pPr>
      <w:r w:rsidRPr="00E501F1">
        <w:rPr>
          <w:rFonts w:cstheme="minorHAnsi"/>
        </w:rPr>
        <w:t>Disclosing this information would promote openness and transparency and may contribute to public debate.</w:t>
      </w:r>
    </w:p>
    <w:p w14:paraId="7FE90547" w14:textId="77777777" w:rsidR="009724D5" w:rsidRPr="00E501F1" w:rsidRDefault="009724D5" w:rsidP="009724D5">
      <w:pPr>
        <w:spacing w:after="0" w:line="240" w:lineRule="auto"/>
        <w:rPr>
          <w:rFonts w:cstheme="minorHAnsi"/>
        </w:rPr>
      </w:pPr>
    </w:p>
    <w:p w14:paraId="297C5F7E" w14:textId="77777777" w:rsidR="009724D5" w:rsidRDefault="009724D5" w:rsidP="009724D5">
      <w:pPr>
        <w:spacing w:after="0" w:line="240" w:lineRule="auto"/>
        <w:rPr>
          <w:rFonts w:cstheme="minorHAnsi"/>
          <w:b/>
          <w:bCs/>
        </w:rPr>
      </w:pPr>
      <w:r w:rsidRPr="00E501F1">
        <w:rPr>
          <w:rFonts w:cstheme="minorHAnsi"/>
          <w:b/>
          <w:bCs/>
        </w:rPr>
        <w:t>Factors Favouring Non-Disclosure</w:t>
      </w:r>
    </w:p>
    <w:p w14:paraId="2368316D" w14:textId="77777777" w:rsidR="009724D5" w:rsidRPr="00E501F1" w:rsidRDefault="009724D5" w:rsidP="009724D5">
      <w:pPr>
        <w:spacing w:after="0" w:line="240" w:lineRule="auto"/>
        <w:rPr>
          <w:rFonts w:cstheme="minorHAnsi"/>
          <w:b/>
          <w:bCs/>
        </w:rPr>
      </w:pPr>
    </w:p>
    <w:p w14:paraId="6F3CF577" w14:textId="77777777" w:rsidR="009724D5" w:rsidRPr="00E501F1" w:rsidRDefault="009724D5" w:rsidP="009724D5">
      <w:pPr>
        <w:spacing w:after="0" w:line="240" w:lineRule="auto"/>
        <w:rPr>
          <w:rFonts w:cstheme="minorHAnsi"/>
        </w:rPr>
      </w:pPr>
      <w:r w:rsidRPr="00E501F1">
        <w:rPr>
          <w:rFonts w:cstheme="minorHAnsi"/>
        </w:rPr>
        <w:lastRenderedPageBreak/>
        <w:t>Under the Freedom of Information Act (FOIA) 2000, the commercial interest exemption S.43 (2) states that information is exempt information if its disclosure under the FOIA would, or would be likely to, prejudice the commercial interests of any person.</w:t>
      </w:r>
    </w:p>
    <w:p w14:paraId="10A1D264" w14:textId="12E5D8CF" w:rsidR="009724D5" w:rsidRDefault="009724D5" w:rsidP="009724D5">
      <w:pPr>
        <w:spacing w:after="0" w:line="240" w:lineRule="auto"/>
        <w:rPr>
          <w:rFonts w:cstheme="minorHAnsi"/>
        </w:rPr>
      </w:pPr>
      <w:r w:rsidRPr="00E501F1">
        <w:rPr>
          <w:rFonts w:cstheme="minorHAnsi"/>
        </w:rPr>
        <w:t xml:space="preserve">A disclosure in response to a Freedom of Information Request is not a disclosure to the individual applicant but a release into the public domain. Publicly disclosing these details would be likely to prejudice the commercial interests of </w:t>
      </w:r>
      <w:r>
        <w:rPr>
          <w:rFonts w:cstheme="minorHAnsi"/>
        </w:rPr>
        <w:t>our rolling stock suppliers</w:t>
      </w:r>
      <w:r>
        <w:rPr>
          <w:rFonts w:cstheme="minorHAnsi"/>
        </w:rPr>
        <w:t>.</w:t>
      </w:r>
    </w:p>
    <w:p w14:paraId="2B10F90E" w14:textId="77777777" w:rsidR="009724D5" w:rsidRDefault="009724D5" w:rsidP="009724D5">
      <w:pPr>
        <w:spacing w:after="0" w:line="240" w:lineRule="auto"/>
        <w:rPr>
          <w:rFonts w:cstheme="minorHAnsi"/>
        </w:rPr>
      </w:pPr>
    </w:p>
    <w:p w14:paraId="452F66CD" w14:textId="77777777" w:rsidR="009724D5" w:rsidRDefault="009724D5" w:rsidP="009724D5">
      <w:pPr>
        <w:spacing w:after="0" w:line="240" w:lineRule="auto"/>
        <w:rPr>
          <w:rFonts w:cstheme="minorHAnsi"/>
          <w:b/>
          <w:bCs/>
          <w:u w:val="single"/>
        </w:rPr>
      </w:pPr>
      <w:r w:rsidRPr="00E501F1">
        <w:rPr>
          <w:rFonts w:cstheme="minorHAnsi"/>
          <w:b/>
          <w:bCs/>
          <w:u w:val="single"/>
        </w:rPr>
        <w:t>Balancing Test</w:t>
      </w:r>
    </w:p>
    <w:p w14:paraId="4687A2B6" w14:textId="77777777" w:rsidR="009724D5" w:rsidRPr="00E501F1" w:rsidRDefault="009724D5" w:rsidP="009724D5">
      <w:pPr>
        <w:spacing w:after="0" w:line="240" w:lineRule="auto"/>
        <w:rPr>
          <w:rFonts w:cstheme="minorHAnsi"/>
          <w:b/>
          <w:bCs/>
          <w:u w:val="single"/>
        </w:rPr>
      </w:pPr>
    </w:p>
    <w:p w14:paraId="5C79EA98" w14:textId="4BEAF9BD" w:rsidR="009724D5" w:rsidRDefault="009724D5" w:rsidP="009724D5">
      <w:pPr>
        <w:spacing w:after="0" w:line="240" w:lineRule="auto"/>
        <w:rPr>
          <w:rFonts w:cstheme="minorHAnsi"/>
        </w:rPr>
      </w:pPr>
      <w:r w:rsidRPr="00E501F1">
        <w:rPr>
          <w:rFonts w:cstheme="minorHAnsi"/>
        </w:rPr>
        <w:t>Before deciding which of these arguments is most compelling, a balancing test needs to be completed. In this case, the key factor favouring non-disclosure is the commercial interests of</w:t>
      </w:r>
      <w:r>
        <w:rPr>
          <w:rFonts w:cstheme="minorHAnsi"/>
        </w:rPr>
        <w:t xml:space="preserve"> </w:t>
      </w:r>
      <w:r w:rsidR="00DA0623">
        <w:rPr>
          <w:rFonts w:cstheme="minorHAnsi"/>
        </w:rPr>
        <w:t xml:space="preserve">our supplier </w:t>
      </w:r>
      <w:r w:rsidRPr="00E501F1">
        <w:rPr>
          <w:rFonts w:cstheme="minorHAnsi"/>
        </w:rPr>
        <w:t>and this needs to be weighed against the key factor favouring disclosure which concerns transparency.</w:t>
      </w:r>
    </w:p>
    <w:p w14:paraId="4C29B830" w14:textId="77777777" w:rsidR="009724D5" w:rsidRDefault="009724D5" w:rsidP="009724D5">
      <w:pPr>
        <w:spacing w:after="0" w:line="240" w:lineRule="auto"/>
        <w:rPr>
          <w:rFonts w:cstheme="minorHAnsi"/>
        </w:rPr>
      </w:pPr>
    </w:p>
    <w:p w14:paraId="778BE3A6" w14:textId="621CAAA4" w:rsidR="009724D5" w:rsidRDefault="009724D5" w:rsidP="009724D5">
      <w:pPr>
        <w:spacing w:after="0" w:line="240" w:lineRule="auto"/>
        <w:rPr>
          <w:rFonts w:cstheme="minorHAnsi"/>
        </w:rPr>
      </w:pPr>
      <w:r>
        <w:rPr>
          <w:rFonts w:cstheme="minorHAnsi"/>
        </w:rPr>
        <w:t>P</w:t>
      </w:r>
      <w:r w:rsidRPr="00EE2D08">
        <w:rPr>
          <w:rFonts w:cstheme="minorHAnsi"/>
        </w:rPr>
        <w:t xml:space="preserve">roviding </w:t>
      </w:r>
      <w:r>
        <w:rPr>
          <w:rFonts w:cstheme="minorHAnsi"/>
        </w:rPr>
        <w:t xml:space="preserve">the </w:t>
      </w:r>
      <w:r>
        <w:rPr>
          <w:rFonts w:cstheme="minorHAnsi"/>
        </w:rPr>
        <w:t>pricing</w:t>
      </w:r>
      <w:r>
        <w:rPr>
          <w:rFonts w:cstheme="minorHAnsi"/>
        </w:rPr>
        <w:t xml:space="preserve"> information</w:t>
      </w:r>
      <w:r w:rsidRPr="00EE2D08">
        <w:rPr>
          <w:rFonts w:cstheme="minorHAnsi"/>
        </w:rPr>
        <w:t xml:space="preserve"> would cause specific harm to the interests of </w:t>
      </w:r>
      <w:r>
        <w:rPr>
          <w:rFonts w:cstheme="minorHAnsi"/>
        </w:rPr>
        <w:t>our rolling stock supplier</w:t>
      </w:r>
      <w:r>
        <w:rPr>
          <w:rFonts w:cstheme="minorHAnsi"/>
        </w:rPr>
        <w:t>. If released, this information</w:t>
      </w:r>
      <w:r w:rsidRPr="00EE2D08">
        <w:rPr>
          <w:rFonts w:cstheme="minorHAnsi"/>
        </w:rPr>
        <w:t xml:space="preserve"> would undermine </w:t>
      </w:r>
      <w:r>
        <w:rPr>
          <w:rFonts w:cstheme="minorHAnsi"/>
        </w:rPr>
        <w:t>our rolling stock supplier</w:t>
      </w:r>
      <w:r w:rsidR="00DA0623">
        <w:rPr>
          <w:rFonts w:cstheme="minorHAnsi"/>
        </w:rPr>
        <w:t>’</w:t>
      </w:r>
      <w:r>
        <w:rPr>
          <w:rFonts w:cstheme="minorHAnsi"/>
        </w:rPr>
        <w:t>s</w:t>
      </w:r>
      <w:r w:rsidRPr="00EE2D08">
        <w:rPr>
          <w:rFonts w:cstheme="minorHAnsi"/>
        </w:rPr>
        <w:t xml:space="preserve"> commercial position in relation to any competitor whose equivalent information was not disclosed. </w:t>
      </w:r>
    </w:p>
    <w:p w14:paraId="4CA94BD1" w14:textId="77777777" w:rsidR="009724D5" w:rsidRPr="00E501F1" w:rsidRDefault="009724D5" w:rsidP="009724D5">
      <w:pPr>
        <w:spacing w:after="0" w:line="240" w:lineRule="auto"/>
        <w:rPr>
          <w:rFonts w:cstheme="minorHAnsi"/>
        </w:rPr>
      </w:pPr>
    </w:p>
    <w:p w14:paraId="15CE7C27" w14:textId="34E6C871" w:rsidR="009724D5" w:rsidRDefault="009724D5" w:rsidP="009724D5">
      <w:pPr>
        <w:spacing w:after="0" w:line="240" w:lineRule="auto"/>
        <w:rPr>
          <w:rFonts w:cstheme="minorHAnsi"/>
        </w:rPr>
      </w:pPr>
      <w:r w:rsidRPr="00E501F1">
        <w:rPr>
          <w:rFonts w:cstheme="minorHAnsi"/>
        </w:rPr>
        <w:t xml:space="preserve">While it is accepted that accountability and demonstrating transparency is a strong factor favouring disclosure. We have determined that greater weight must be given to protecting the commercial interests of </w:t>
      </w:r>
      <w:r w:rsidR="0094611C">
        <w:rPr>
          <w:rFonts w:cstheme="minorHAnsi"/>
        </w:rPr>
        <w:t>our rolling stock supplier</w:t>
      </w:r>
      <w:r w:rsidRPr="00E501F1">
        <w:rPr>
          <w:rFonts w:cstheme="minorHAnsi"/>
        </w:rPr>
        <w:t>.</w:t>
      </w:r>
    </w:p>
    <w:p w14:paraId="2D7D94DF" w14:textId="77777777" w:rsidR="009724D5" w:rsidRPr="00E400F2" w:rsidRDefault="009724D5" w:rsidP="009724D5">
      <w:pPr>
        <w:spacing w:after="0" w:line="240" w:lineRule="auto"/>
        <w:rPr>
          <w:rFonts w:cstheme="minorHAnsi"/>
        </w:rPr>
      </w:pPr>
    </w:p>
    <w:p w14:paraId="45C50B66" w14:textId="77777777" w:rsidR="009724D5" w:rsidRDefault="009724D5" w:rsidP="009724D5">
      <w:pPr>
        <w:spacing w:after="0" w:line="240" w:lineRule="auto"/>
        <w:rPr>
          <w:rFonts w:cstheme="minorHAnsi"/>
        </w:rPr>
      </w:pPr>
      <w:r>
        <w:rPr>
          <w:rFonts w:cstheme="minorHAnsi"/>
        </w:rPr>
        <w:t xml:space="preserve">Taking all this into consideration, the balance lies in favour of non-disclosure </w:t>
      </w:r>
      <w:proofErr w:type="gramStart"/>
      <w:r>
        <w:rPr>
          <w:rFonts w:cstheme="minorHAnsi"/>
        </w:rPr>
        <w:t>at this time</w:t>
      </w:r>
      <w:proofErr w:type="gramEnd"/>
      <w:r>
        <w:rPr>
          <w:rFonts w:cstheme="minorHAnsi"/>
        </w:rPr>
        <w:t>.</w:t>
      </w:r>
    </w:p>
    <w:p w14:paraId="4A4FAA26" w14:textId="77777777" w:rsidR="009724D5" w:rsidRPr="000A38B0" w:rsidRDefault="009724D5" w:rsidP="000A38B0">
      <w:pPr>
        <w:spacing w:after="0" w:line="240" w:lineRule="auto"/>
        <w:rPr>
          <w:u w:val="single"/>
        </w:rPr>
      </w:pPr>
    </w:p>
    <w:p w14:paraId="61CB1748" w14:textId="77777777" w:rsidR="00185126" w:rsidRDefault="00185126" w:rsidP="000A38B0">
      <w:pPr>
        <w:spacing w:after="0" w:line="240" w:lineRule="auto"/>
        <w:rPr>
          <w:u w:val="single"/>
        </w:rPr>
      </w:pPr>
      <w:r w:rsidRPr="00185126">
        <w:rPr>
          <w:u w:val="single"/>
        </w:rPr>
        <w:t>Question 4</w:t>
      </w:r>
    </w:p>
    <w:p w14:paraId="09AB5238" w14:textId="77777777" w:rsidR="0094611C" w:rsidRDefault="0094611C" w:rsidP="000A38B0">
      <w:pPr>
        <w:spacing w:after="0" w:line="240" w:lineRule="auto"/>
        <w:rPr>
          <w:u w:val="single"/>
        </w:rPr>
      </w:pPr>
    </w:p>
    <w:p w14:paraId="55EAF456" w14:textId="51BB3D6C" w:rsidR="0094611C" w:rsidRPr="0094611C" w:rsidRDefault="0094611C" w:rsidP="000A38B0">
      <w:pPr>
        <w:spacing w:after="0" w:line="240" w:lineRule="auto"/>
      </w:pPr>
      <w:r w:rsidRPr="0094611C">
        <w:t>Some of the requested information is available within our board minutes from November 2024, point 10 and as such is withheld by virtue of the following exemption –</w:t>
      </w:r>
    </w:p>
    <w:p w14:paraId="1590AA56" w14:textId="77777777" w:rsidR="0094611C" w:rsidRDefault="0094611C" w:rsidP="000A38B0">
      <w:pPr>
        <w:spacing w:after="0" w:line="240" w:lineRule="auto"/>
        <w:rPr>
          <w:u w:val="single"/>
        </w:rPr>
      </w:pPr>
    </w:p>
    <w:p w14:paraId="103BE156" w14:textId="77777777" w:rsidR="0094611C" w:rsidRPr="005D5C3E" w:rsidRDefault="0094611C" w:rsidP="0094611C">
      <w:pPr>
        <w:spacing w:after="0" w:line="240" w:lineRule="auto"/>
        <w:rPr>
          <w:b/>
          <w:bCs/>
        </w:rPr>
      </w:pPr>
      <w:r w:rsidRPr="005D5C3E">
        <w:rPr>
          <w:b/>
          <w:bCs/>
        </w:rPr>
        <w:t>Section 21 – Information accessible by other means.</w:t>
      </w:r>
    </w:p>
    <w:p w14:paraId="2D7F85C7" w14:textId="77777777" w:rsidR="0094611C" w:rsidRDefault="0094611C" w:rsidP="000A38B0">
      <w:pPr>
        <w:spacing w:after="0" w:line="240" w:lineRule="auto"/>
        <w:rPr>
          <w:u w:val="single"/>
        </w:rPr>
      </w:pPr>
    </w:p>
    <w:p w14:paraId="40E59BDA" w14:textId="7077DF34" w:rsidR="0094611C" w:rsidRPr="00DA0623" w:rsidRDefault="0094611C" w:rsidP="000A38B0">
      <w:pPr>
        <w:spacing w:after="0" w:line="240" w:lineRule="auto"/>
      </w:pPr>
      <w:r w:rsidRPr="00DA0623">
        <w:t>Under Section 16, the duty to advise and assist, please see the below link to these minutes -</w:t>
      </w:r>
    </w:p>
    <w:p w14:paraId="023B5BA3" w14:textId="77777777" w:rsidR="0094611C" w:rsidRDefault="0094611C" w:rsidP="000A38B0">
      <w:pPr>
        <w:spacing w:after="0" w:line="240" w:lineRule="auto"/>
        <w:rPr>
          <w:u w:val="single"/>
        </w:rPr>
      </w:pPr>
    </w:p>
    <w:p w14:paraId="6FA0E854" w14:textId="30F1F830" w:rsidR="0094611C" w:rsidRPr="00185126" w:rsidRDefault="0094611C" w:rsidP="000A38B0">
      <w:pPr>
        <w:spacing w:after="0" w:line="240" w:lineRule="auto"/>
        <w:rPr>
          <w:u w:val="single"/>
        </w:rPr>
      </w:pPr>
      <w:hyperlink r:id="rId10" w:history="1">
        <w:r w:rsidRPr="0094611C">
          <w:rPr>
            <w:rStyle w:val="Hyperlink"/>
          </w:rPr>
          <w:t>TfW-Rail-Board-minutes-08-11-24_R.pdf</w:t>
        </w:r>
      </w:hyperlink>
    </w:p>
    <w:p w14:paraId="1F45840B" w14:textId="77777777" w:rsidR="00185126" w:rsidRDefault="00185126" w:rsidP="000A38B0">
      <w:pPr>
        <w:spacing w:after="0" w:line="240" w:lineRule="auto"/>
        <w:rPr>
          <w:b/>
          <w:bCs/>
        </w:rPr>
      </w:pPr>
    </w:p>
    <w:p w14:paraId="1954B039" w14:textId="61E8139E" w:rsidR="000A38B0" w:rsidRPr="000A38B0" w:rsidRDefault="000A38B0" w:rsidP="000A38B0">
      <w:pPr>
        <w:spacing w:after="0" w:line="240" w:lineRule="auto"/>
      </w:pPr>
      <w:r w:rsidRPr="000A38B0">
        <w:t xml:space="preserve">The Board decision to discontinue with Standard Plus was not due to the absence of an accessible toilet specifically. Despite the train being compliant with all applicable laws and standards, TfW considered that lack of wheelchair capacity did not align to its policy on equality for all passengers. </w:t>
      </w:r>
    </w:p>
    <w:p w14:paraId="3E52A9F4" w14:textId="77777777" w:rsidR="00185126" w:rsidRDefault="00185126" w:rsidP="000A38B0">
      <w:pPr>
        <w:spacing w:after="0" w:line="240" w:lineRule="auto"/>
        <w:rPr>
          <w:b/>
          <w:bCs/>
        </w:rPr>
      </w:pPr>
    </w:p>
    <w:p w14:paraId="559DEE04" w14:textId="28AE35CC" w:rsidR="000A38B0" w:rsidRPr="000A38B0" w:rsidRDefault="000A38B0" w:rsidP="000A38B0">
      <w:pPr>
        <w:spacing w:after="0" w:line="240" w:lineRule="auto"/>
      </w:pPr>
      <w:r w:rsidRPr="000A38B0">
        <w:t xml:space="preserve">TfW assessed the possibility of a mechanism for a standard compensation scheme for wheelchair users who were unable to access Standard Plus. </w:t>
      </w:r>
    </w:p>
    <w:p w14:paraId="26C0FBBA" w14:textId="77777777" w:rsidR="000A38B0" w:rsidRPr="000A38B0" w:rsidRDefault="000A38B0" w:rsidP="000A38B0">
      <w:pPr>
        <w:spacing w:after="0" w:line="240" w:lineRule="auto"/>
      </w:pPr>
      <w:r w:rsidRPr="000A38B0">
        <w:t xml:space="preserve">TfW confirmed compliance to all applicable laws and standards. </w:t>
      </w:r>
    </w:p>
    <w:p w14:paraId="5485D41A" w14:textId="77777777" w:rsidR="000A38B0" w:rsidRPr="000A38B0" w:rsidRDefault="000A38B0" w:rsidP="000A38B0">
      <w:pPr>
        <w:spacing w:after="0" w:line="240" w:lineRule="auto"/>
      </w:pPr>
      <w:r w:rsidRPr="000A38B0">
        <w:t xml:space="preserve">Legal advice was taken to understand the scope of any possible claims relating to access to Standard Plus. </w:t>
      </w:r>
    </w:p>
    <w:p w14:paraId="316C55CD" w14:textId="77777777" w:rsidR="00185126" w:rsidRDefault="00185126" w:rsidP="000A38B0">
      <w:pPr>
        <w:spacing w:after="0" w:line="240" w:lineRule="auto"/>
        <w:rPr>
          <w:b/>
          <w:bCs/>
        </w:rPr>
      </w:pPr>
    </w:p>
    <w:p w14:paraId="03A59F11" w14:textId="77777777" w:rsidR="00185126" w:rsidRPr="00185126" w:rsidRDefault="00185126" w:rsidP="000A38B0">
      <w:pPr>
        <w:spacing w:after="0" w:line="240" w:lineRule="auto"/>
        <w:rPr>
          <w:u w:val="single"/>
        </w:rPr>
      </w:pPr>
      <w:r w:rsidRPr="00185126">
        <w:rPr>
          <w:u w:val="single"/>
        </w:rPr>
        <w:t>Question 5</w:t>
      </w:r>
    </w:p>
    <w:p w14:paraId="7562CA43" w14:textId="77777777" w:rsidR="00185126" w:rsidRDefault="00185126" w:rsidP="000A38B0">
      <w:pPr>
        <w:spacing w:after="0" w:line="240" w:lineRule="auto"/>
        <w:rPr>
          <w:b/>
          <w:bCs/>
        </w:rPr>
      </w:pPr>
    </w:p>
    <w:p w14:paraId="171EE6B4" w14:textId="03D3F4CB" w:rsidR="000A38B0" w:rsidRPr="000A38B0" w:rsidRDefault="000A38B0" w:rsidP="000A38B0">
      <w:pPr>
        <w:spacing w:after="0" w:line="240" w:lineRule="auto"/>
      </w:pPr>
      <w:r w:rsidRPr="000A38B0">
        <w:t xml:space="preserve">The carriage design is fully compliant with all applicable standards including, most importantly in this context, the Persons with Reduced Mobility (PRM) National Technical Specification Notice (NTSN), which replaced the EU technical specifications for interoperability (TSIs) that were extant at the time of that design. Therefore, no additional accessibility or impact assessments were undertaken. </w:t>
      </w:r>
    </w:p>
    <w:p w14:paraId="6B51F754" w14:textId="77777777" w:rsidR="00185126" w:rsidRDefault="00185126" w:rsidP="00185126">
      <w:pPr>
        <w:spacing w:after="0" w:line="240" w:lineRule="auto"/>
      </w:pPr>
    </w:p>
    <w:p w14:paraId="16917E3C" w14:textId="77777777" w:rsidR="00185126" w:rsidRPr="00185126" w:rsidRDefault="00185126" w:rsidP="00185126">
      <w:pPr>
        <w:spacing w:after="0" w:line="240" w:lineRule="auto"/>
        <w:rPr>
          <w:u w:val="single"/>
        </w:rPr>
      </w:pPr>
      <w:r w:rsidRPr="00185126">
        <w:rPr>
          <w:u w:val="single"/>
        </w:rPr>
        <w:t>Question 6</w:t>
      </w:r>
    </w:p>
    <w:p w14:paraId="701E6690" w14:textId="02191043" w:rsidR="000A38B0" w:rsidRPr="000A38B0" w:rsidRDefault="000A38B0" w:rsidP="00185126">
      <w:pPr>
        <w:spacing w:after="0" w:line="240" w:lineRule="auto"/>
      </w:pPr>
      <w:r w:rsidRPr="000A38B0">
        <w:rPr>
          <w:b/>
          <w:bCs/>
        </w:rPr>
        <w:t xml:space="preserve"> </w:t>
      </w:r>
    </w:p>
    <w:p w14:paraId="5951A0A4" w14:textId="77777777" w:rsidR="000A38B0" w:rsidRDefault="000A38B0" w:rsidP="000A38B0">
      <w:pPr>
        <w:spacing w:after="0" w:line="240" w:lineRule="auto"/>
      </w:pPr>
      <w:r w:rsidRPr="000A38B0">
        <w:t xml:space="preserve">As stated above the absence of an accessible toilet in the Standard Plus area was not the reason for not launching Standard Plus. There is no identifiable stage where absence of an accessible toilet occurred. </w:t>
      </w:r>
    </w:p>
    <w:p w14:paraId="112E47C8" w14:textId="77777777" w:rsidR="00DA0623" w:rsidRPr="000A38B0" w:rsidRDefault="00DA0623" w:rsidP="000A38B0">
      <w:pPr>
        <w:spacing w:after="0" w:line="240" w:lineRule="auto"/>
      </w:pPr>
    </w:p>
    <w:p w14:paraId="2B8C9702" w14:textId="77777777" w:rsidR="000A38B0" w:rsidRPr="000A38B0" w:rsidRDefault="000A38B0" w:rsidP="000A38B0">
      <w:pPr>
        <w:spacing w:after="0" w:line="240" w:lineRule="auto"/>
      </w:pPr>
      <w:r w:rsidRPr="000A38B0">
        <w:t xml:space="preserve">As is standard with all rolling stock procurement, the final carriage design was agreed during the design review process and were all confirmed as compliant with applicable standards. </w:t>
      </w:r>
    </w:p>
    <w:p w14:paraId="339A2D03" w14:textId="77777777" w:rsidR="00185126" w:rsidRDefault="00185126" w:rsidP="000A38B0">
      <w:pPr>
        <w:spacing w:after="0" w:line="240" w:lineRule="auto"/>
        <w:rPr>
          <w:b/>
          <w:bCs/>
        </w:rPr>
      </w:pPr>
    </w:p>
    <w:p w14:paraId="08A186E5" w14:textId="028496CF" w:rsidR="000A38B0" w:rsidRPr="000A38B0" w:rsidRDefault="000A38B0" w:rsidP="000A38B0">
      <w:pPr>
        <w:spacing w:after="0" w:line="240" w:lineRule="auto"/>
      </w:pPr>
      <w:r w:rsidRPr="000A38B0">
        <w:t xml:space="preserve">This was formally “signed off” by all parties to the Manufacture and Supply Agreement (MSA) Via Variation Order Number 1 on 25th October 2019. </w:t>
      </w:r>
    </w:p>
    <w:p w14:paraId="18BF02C6" w14:textId="77777777" w:rsidR="00185126" w:rsidRDefault="00185126" w:rsidP="000A38B0">
      <w:pPr>
        <w:spacing w:after="0" w:line="240" w:lineRule="auto"/>
        <w:rPr>
          <w:b/>
          <w:bCs/>
        </w:rPr>
      </w:pPr>
    </w:p>
    <w:p w14:paraId="76457F48" w14:textId="597C831E" w:rsidR="000A38B0" w:rsidRPr="000A38B0" w:rsidRDefault="000A38B0" w:rsidP="000A38B0">
      <w:pPr>
        <w:spacing w:after="0" w:line="240" w:lineRule="auto"/>
      </w:pPr>
      <w:r w:rsidRPr="000A38B0">
        <w:t xml:space="preserve">The absence of an accessible toilet in the Standard Plus area was not an issue. The design of the carriage is compliant with all applicable standards. </w:t>
      </w:r>
    </w:p>
    <w:p w14:paraId="37B225DF" w14:textId="77777777" w:rsidR="00185126" w:rsidRDefault="00185126" w:rsidP="000A38B0">
      <w:pPr>
        <w:spacing w:after="0" w:line="240" w:lineRule="auto"/>
        <w:rPr>
          <w:b/>
          <w:bCs/>
        </w:rPr>
      </w:pPr>
    </w:p>
    <w:p w14:paraId="6330E916" w14:textId="0B1BE230" w:rsidR="000A38B0" w:rsidRPr="000A38B0" w:rsidRDefault="00185126" w:rsidP="000A38B0">
      <w:pPr>
        <w:spacing w:after="0" w:line="240" w:lineRule="auto"/>
      </w:pPr>
      <w:r w:rsidRPr="00185126">
        <w:t xml:space="preserve">Transport for Wales do not hold </w:t>
      </w:r>
      <w:r w:rsidR="000A38B0" w:rsidRPr="000A38B0">
        <w:t xml:space="preserve">any internal correspondence, decision logs, or briefing papers discussing risks, compliance considerations, or alternative options. </w:t>
      </w:r>
    </w:p>
    <w:p w14:paraId="666ADB9D" w14:textId="793E0493" w:rsidR="000A38B0" w:rsidRPr="000A38B0" w:rsidRDefault="000A38B0" w:rsidP="000A38B0">
      <w:pPr>
        <w:spacing w:after="0" w:line="240" w:lineRule="auto"/>
      </w:pPr>
    </w:p>
    <w:p w14:paraId="1A9108F9" w14:textId="77777777" w:rsidR="00185126" w:rsidRPr="00185126" w:rsidRDefault="00185126" w:rsidP="000A38B0">
      <w:pPr>
        <w:spacing w:after="0" w:line="240" w:lineRule="auto"/>
        <w:rPr>
          <w:u w:val="single"/>
        </w:rPr>
      </w:pPr>
      <w:r w:rsidRPr="00185126">
        <w:rPr>
          <w:u w:val="single"/>
        </w:rPr>
        <w:t>Question 7</w:t>
      </w:r>
    </w:p>
    <w:p w14:paraId="50279AE6" w14:textId="77777777" w:rsidR="00185126" w:rsidRDefault="00185126" w:rsidP="000A38B0">
      <w:pPr>
        <w:spacing w:after="0" w:line="240" w:lineRule="auto"/>
        <w:rPr>
          <w:b/>
          <w:bCs/>
        </w:rPr>
      </w:pPr>
    </w:p>
    <w:p w14:paraId="510EC72E" w14:textId="4911EFC1" w:rsidR="000A38B0" w:rsidRPr="000A38B0" w:rsidRDefault="000A38B0" w:rsidP="000A38B0">
      <w:pPr>
        <w:spacing w:after="0" w:line="240" w:lineRule="auto"/>
      </w:pPr>
      <w:r w:rsidRPr="000A38B0">
        <w:t xml:space="preserve">This was formally “signed off” by all parties to the Manufacture and Supply Agreement (MSA) Via Variation Order Number 1 on 25th October 2019. </w:t>
      </w:r>
    </w:p>
    <w:p w14:paraId="3EFC0C3F" w14:textId="0B27AD14" w:rsidR="000A38B0" w:rsidRPr="000A38B0" w:rsidRDefault="000A38B0" w:rsidP="000A38B0">
      <w:pPr>
        <w:spacing w:after="0" w:line="240" w:lineRule="auto"/>
      </w:pPr>
      <w:r w:rsidRPr="000A38B0">
        <w:rPr>
          <w:b/>
          <w:bCs/>
        </w:rPr>
        <w:t xml:space="preserve"> </w:t>
      </w:r>
    </w:p>
    <w:p w14:paraId="0C278CDE" w14:textId="3C9462A0" w:rsidR="00185126" w:rsidRPr="000A38B0" w:rsidRDefault="000A38B0" w:rsidP="00185126">
      <w:pPr>
        <w:spacing w:after="0" w:line="240" w:lineRule="auto"/>
      </w:pPr>
      <w:r w:rsidRPr="000A38B0">
        <w:t xml:space="preserve">TfW Executive Leadership Team </w:t>
      </w:r>
      <w:r w:rsidR="00185126">
        <w:t xml:space="preserve">were </w:t>
      </w:r>
      <w:r w:rsidR="00185126" w:rsidRPr="000A38B0">
        <w:t>responsible for the decision to discontinue Standard Plus</w:t>
      </w:r>
      <w:r w:rsidR="00185126" w:rsidRPr="00185126">
        <w:t>.</w:t>
      </w:r>
    </w:p>
    <w:p w14:paraId="666EB33D" w14:textId="6453E7C1" w:rsidR="000A38B0" w:rsidRPr="000A38B0" w:rsidRDefault="000A38B0" w:rsidP="000A38B0">
      <w:pPr>
        <w:spacing w:after="0" w:line="240" w:lineRule="auto"/>
      </w:pPr>
    </w:p>
    <w:p w14:paraId="6A81DAA7" w14:textId="77777777" w:rsidR="000A38B0" w:rsidRPr="000A38B0" w:rsidRDefault="000A38B0" w:rsidP="000A38B0">
      <w:pPr>
        <w:spacing w:after="0" w:line="240" w:lineRule="auto"/>
      </w:pPr>
      <w:r w:rsidRPr="000A38B0">
        <w:t xml:space="preserve">Procurement of new rolling stock is a complex and detailed process which requires compliance to applicable laws and standards. The design of the fleet was agreed in June 2019 to such standards. </w:t>
      </w:r>
    </w:p>
    <w:p w14:paraId="36CFC411" w14:textId="12AE1F19" w:rsidR="002438E2" w:rsidRDefault="000A38B0" w:rsidP="000A38B0">
      <w:pPr>
        <w:spacing w:after="0" w:line="240" w:lineRule="auto"/>
      </w:pPr>
      <w:r w:rsidRPr="000A38B0">
        <w:t>As stated above absence of an accessible toilet was not part of the decision to withdraw Standard Plus. TfW’s decision was wholly focused on delivering equality to all passengers.</w:t>
      </w:r>
    </w:p>
    <w:p w14:paraId="20660E22" w14:textId="77777777" w:rsidR="00DA0623" w:rsidRDefault="00DA0623" w:rsidP="00F91E73">
      <w:pPr>
        <w:spacing w:after="0" w:line="240" w:lineRule="auto"/>
        <w:rPr>
          <w:rFonts w:cstheme="minorHAnsi"/>
        </w:rPr>
      </w:pPr>
    </w:p>
    <w:p w14:paraId="6D286A27" w14:textId="18E19035"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38B0"/>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5126"/>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481C"/>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C441B"/>
    <w:rsid w:val="008D0D18"/>
    <w:rsid w:val="008D5428"/>
    <w:rsid w:val="008D6A14"/>
    <w:rsid w:val="008E5B1D"/>
    <w:rsid w:val="009022B9"/>
    <w:rsid w:val="00905666"/>
    <w:rsid w:val="0090674D"/>
    <w:rsid w:val="00920E37"/>
    <w:rsid w:val="009228B6"/>
    <w:rsid w:val="0094611C"/>
    <w:rsid w:val="009506DD"/>
    <w:rsid w:val="00955621"/>
    <w:rsid w:val="00955C33"/>
    <w:rsid w:val="0095701E"/>
    <w:rsid w:val="00962DA6"/>
    <w:rsid w:val="009714B7"/>
    <w:rsid w:val="009724D5"/>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241E"/>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03F3"/>
    <w:rsid w:val="00D324BB"/>
    <w:rsid w:val="00D32B2D"/>
    <w:rsid w:val="00D3743B"/>
    <w:rsid w:val="00D55AF0"/>
    <w:rsid w:val="00D60775"/>
    <w:rsid w:val="00D63AE2"/>
    <w:rsid w:val="00D65D21"/>
    <w:rsid w:val="00DA0623"/>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2373B"/>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fw.wales/sites/default/files/2025-02/TfW-Rail-Board-minutes-08-11-24_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BAC30C0-F9D0-4B20-908E-18F16C519266}"/>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1352</Words>
  <Characters>6817</Characters>
  <Application>Microsoft Office Word</Application>
  <DocSecurity>0</DocSecurity>
  <Lines>324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2025-11-13T12:08:00Z</dcterms:created>
  <dcterms:modified xsi:type="dcterms:W3CDTF">2025-11-13T12:08:00Z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