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802546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52576C">
        <w:rPr>
          <w:rStyle w:val="normaltextrun"/>
          <w:rFonts w:ascii="Calibri" w:hAnsi="Calibri" w:cs="Calibri"/>
          <w:sz w:val="22"/>
          <w:szCs w:val="22"/>
        </w:rPr>
        <w:t>12</w:t>
      </w:r>
      <w:r w:rsidR="00622FE7">
        <w:rPr>
          <w:rStyle w:val="normaltextrun"/>
          <w:rFonts w:ascii="Calibri" w:hAnsi="Calibri" w:cs="Calibri"/>
          <w:sz w:val="22"/>
          <w:szCs w:val="22"/>
        </w:rPr>
        <w:t xml:space="preserve"> </w:t>
      </w:r>
      <w:r w:rsidR="0024264A">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EE43CB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D160F">
        <w:rPr>
          <w:rStyle w:val="normaltextrun"/>
          <w:rFonts w:ascii="Calibri" w:hAnsi="Calibri" w:cs="Calibri"/>
          <w:b/>
          <w:bCs/>
          <w:color w:val="FF0000"/>
          <w:sz w:val="28"/>
          <w:szCs w:val="28"/>
        </w:rPr>
        <w:t>12</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1DA20356" w14:textId="77777777" w:rsidR="001D160F" w:rsidRPr="001D160F" w:rsidRDefault="001D160F" w:rsidP="001D160F">
      <w:pPr>
        <w:spacing w:after="0" w:line="240" w:lineRule="auto"/>
        <w:rPr>
          <w:b/>
          <w:bCs/>
        </w:rPr>
      </w:pPr>
      <w:r w:rsidRPr="001D160F">
        <w:rPr>
          <w:b/>
          <w:bCs/>
        </w:rPr>
        <w:t>Please provide the following information in relation to Transport for Wales rail services:</w:t>
      </w:r>
    </w:p>
    <w:p w14:paraId="6B66CF49" w14:textId="77777777" w:rsidR="001D160F" w:rsidRPr="001D160F" w:rsidRDefault="001D160F" w:rsidP="001D160F">
      <w:pPr>
        <w:numPr>
          <w:ilvl w:val="0"/>
          <w:numId w:val="39"/>
        </w:numPr>
        <w:spacing w:after="0" w:line="240" w:lineRule="auto"/>
        <w:rPr>
          <w:b/>
          <w:bCs/>
        </w:rPr>
      </w:pPr>
      <w:r w:rsidRPr="001D160F">
        <w:rPr>
          <w:b/>
          <w:bCs/>
        </w:rPr>
        <w:t>For each of the last five financial years, the total number of scheduled passenger train services.</w:t>
      </w:r>
    </w:p>
    <w:p w14:paraId="622B0393" w14:textId="77777777" w:rsidR="001D160F" w:rsidRPr="001D160F" w:rsidRDefault="001D160F" w:rsidP="001D160F">
      <w:pPr>
        <w:numPr>
          <w:ilvl w:val="0"/>
          <w:numId w:val="39"/>
        </w:numPr>
        <w:spacing w:after="0" w:line="240" w:lineRule="auto"/>
        <w:rPr>
          <w:b/>
          <w:bCs/>
        </w:rPr>
      </w:pPr>
      <w:r w:rsidRPr="001D160F">
        <w:rPr>
          <w:b/>
          <w:bCs/>
        </w:rPr>
        <w:t>For each of those years, the total number of train services that were cancelled.</w:t>
      </w:r>
    </w:p>
    <w:p w14:paraId="27351983" w14:textId="77777777" w:rsidR="001D160F" w:rsidRPr="001D160F" w:rsidRDefault="001D160F" w:rsidP="001D160F">
      <w:pPr>
        <w:numPr>
          <w:ilvl w:val="0"/>
          <w:numId w:val="39"/>
        </w:numPr>
        <w:spacing w:after="0" w:line="240" w:lineRule="auto"/>
        <w:rPr>
          <w:b/>
          <w:bCs/>
        </w:rPr>
      </w:pPr>
      <w:r w:rsidRPr="001D160F">
        <w:rPr>
          <w:b/>
          <w:bCs/>
        </w:rPr>
        <w:t>Where recorded, a breakdown of cancelled services by primary cause, for example:</w:t>
      </w:r>
    </w:p>
    <w:p w14:paraId="3B207AC6" w14:textId="77777777" w:rsidR="001D160F" w:rsidRPr="001D160F" w:rsidRDefault="001D160F" w:rsidP="001D160F">
      <w:pPr>
        <w:numPr>
          <w:ilvl w:val="1"/>
          <w:numId w:val="39"/>
        </w:numPr>
        <w:spacing w:after="0" w:line="240" w:lineRule="auto"/>
        <w:rPr>
          <w:b/>
          <w:bCs/>
        </w:rPr>
      </w:pPr>
      <w:r w:rsidRPr="001D160F">
        <w:rPr>
          <w:b/>
          <w:bCs/>
        </w:rPr>
        <w:t>Infrastructure issues</w:t>
      </w:r>
    </w:p>
    <w:p w14:paraId="6812E301" w14:textId="77777777" w:rsidR="001D160F" w:rsidRPr="001D160F" w:rsidRDefault="001D160F" w:rsidP="001D160F">
      <w:pPr>
        <w:numPr>
          <w:ilvl w:val="1"/>
          <w:numId w:val="39"/>
        </w:numPr>
        <w:spacing w:after="0" w:line="240" w:lineRule="auto"/>
        <w:rPr>
          <w:b/>
          <w:bCs/>
        </w:rPr>
      </w:pPr>
      <w:r w:rsidRPr="001D160F">
        <w:rPr>
          <w:b/>
          <w:bCs/>
        </w:rPr>
        <w:t>Rolling stock failure</w:t>
      </w:r>
    </w:p>
    <w:p w14:paraId="379B9ED7" w14:textId="77777777" w:rsidR="001D160F" w:rsidRPr="001D160F" w:rsidRDefault="001D160F" w:rsidP="001D160F">
      <w:pPr>
        <w:numPr>
          <w:ilvl w:val="1"/>
          <w:numId w:val="39"/>
        </w:numPr>
        <w:spacing w:after="0" w:line="240" w:lineRule="auto"/>
        <w:rPr>
          <w:b/>
          <w:bCs/>
        </w:rPr>
      </w:pPr>
      <w:r w:rsidRPr="001D160F">
        <w:rPr>
          <w:b/>
          <w:bCs/>
        </w:rPr>
        <w:t>Staffing issues</w:t>
      </w:r>
    </w:p>
    <w:p w14:paraId="68297326" w14:textId="77777777" w:rsidR="001D160F" w:rsidRPr="001D160F" w:rsidRDefault="001D160F" w:rsidP="001D160F">
      <w:pPr>
        <w:numPr>
          <w:ilvl w:val="1"/>
          <w:numId w:val="39"/>
        </w:numPr>
        <w:spacing w:after="0" w:line="240" w:lineRule="auto"/>
        <w:rPr>
          <w:b/>
          <w:bCs/>
        </w:rPr>
      </w:pPr>
      <w:r w:rsidRPr="001D160F">
        <w:rPr>
          <w:b/>
          <w:bCs/>
        </w:rPr>
        <w:t>Weather-related disruption</w:t>
      </w:r>
    </w:p>
    <w:p w14:paraId="193358DE" w14:textId="77777777" w:rsidR="001D160F" w:rsidRPr="001D160F" w:rsidRDefault="001D160F" w:rsidP="001D160F">
      <w:pPr>
        <w:numPr>
          <w:ilvl w:val="1"/>
          <w:numId w:val="39"/>
        </w:numPr>
        <w:spacing w:after="0" w:line="240" w:lineRule="auto"/>
        <w:rPr>
          <w:b/>
          <w:bCs/>
        </w:rPr>
      </w:pPr>
      <w:r w:rsidRPr="001D160F">
        <w:rPr>
          <w:b/>
          <w:bCs/>
        </w:rPr>
        <w:t>External factors (such as trespass, obstruction, or emergency services incidents)</w:t>
      </w:r>
    </w:p>
    <w:p w14:paraId="61E4EAE1" w14:textId="77777777" w:rsidR="001D160F" w:rsidRPr="001D160F" w:rsidRDefault="001D160F" w:rsidP="001D160F">
      <w:pPr>
        <w:numPr>
          <w:ilvl w:val="0"/>
          <w:numId w:val="39"/>
        </w:numPr>
        <w:spacing w:after="0" w:line="240" w:lineRule="auto"/>
        <w:rPr>
          <w:b/>
          <w:bCs/>
        </w:rPr>
      </w:pPr>
      <w:r w:rsidRPr="001D160F">
        <w:rPr>
          <w:b/>
          <w:bCs/>
        </w:rPr>
        <w:t>For each of the last five financial years, the total amount paid out in compensation to passengers for delayed or cancelled services (including Delay Repay or equivalent schemes).</w:t>
      </w:r>
    </w:p>
    <w:p w14:paraId="2613965A" w14:textId="25AEB75C" w:rsidR="001D160F" w:rsidRPr="001D160F" w:rsidRDefault="001D160F" w:rsidP="001D160F">
      <w:pPr>
        <w:numPr>
          <w:ilvl w:val="0"/>
          <w:numId w:val="39"/>
        </w:numPr>
        <w:spacing w:after="0" w:line="240" w:lineRule="auto"/>
        <w:rPr>
          <w:b/>
          <w:bCs/>
        </w:rPr>
      </w:pPr>
      <w:r w:rsidRPr="001D160F">
        <w:rPr>
          <w:b/>
          <w:bCs/>
        </w:rPr>
        <w:t xml:space="preserve">Where available, the number of compensation claims </w:t>
      </w:r>
      <w:r w:rsidR="00CA3B1F" w:rsidRPr="001D160F">
        <w:rPr>
          <w:b/>
          <w:bCs/>
        </w:rPr>
        <w:t>submitted,</w:t>
      </w:r>
      <w:r w:rsidRPr="001D160F">
        <w:rPr>
          <w:b/>
          <w:bCs/>
        </w:rPr>
        <w:t xml:space="preserve"> and the number successfully paid in each year.</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45108F53" w14:textId="77777777" w:rsidR="00DE6D84" w:rsidRDefault="00DE6D84" w:rsidP="156E0B0A">
      <w:pPr>
        <w:spacing w:after="0" w:line="240" w:lineRule="auto"/>
        <w:rPr>
          <w:b/>
          <w:bCs/>
        </w:rPr>
      </w:pPr>
    </w:p>
    <w:p w14:paraId="59754650" w14:textId="4C10EEF0" w:rsidR="00DE6D84" w:rsidRPr="00DE6D84" w:rsidRDefault="00DE6D84" w:rsidP="156E0B0A">
      <w:pPr>
        <w:spacing w:after="0" w:line="240" w:lineRule="auto"/>
        <w:rPr>
          <w:u w:val="single"/>
        </w:rPr>
      </w:pPr>
      <w:r w:rsidRPr="00DE6D84">
        <w:rPr>
          <w:u w:val="single"/>
        </w:rPr>
        <w:t>Question 1 to 3</w:t>
      </w:r>
    </w:p>
    <w:p w14:paraId="2FF864E6" w14:textId="77777777" w:rsidR="00CC3783" w:rsidRDefault="00CC3783" w:rsidP="156E0B0A">
      <w:pPr>
        <w:spacing w:after="0" w:line="240" w:lineRule="auto"/>
        <w:rPr>
          <w:b/>
          <w:bCs/>
        </w:rPr>
      </w:pPr>
    </w:p>
    <w:p w14:paraId="26ABE234" w14:textId="3E36B61F" w:rsidR="00CC3783" w:rsidRPr="00482378" w:rsidRDefault="00CC3783" w:rsidP="156E0B0A">
      <w:pPr>
        <w:spacing w:after="0" w:line="240" w:lineRule="auto"/>
      </w:pPr>
      <w:r w:rsidRPr="00482378">
        <w:t xml:space="preserve">Please note, figures for 2020/21 are during </w:t>
      </w:r>
      <w:r w:rsidR="00482378" w:rsidRPr="00482378">
        <w:t>Covid.</w:t>
      </w:r>
    </w:p>
    <w:p w14:paraId="234264DB" w14:textId="77777777" w:rsidR="00D1410E" w:rsidRPr="00482378" w:rsidRDefault="00D1410E" w:rsidP="156E0B0A">
      <w:pPr>
        <w:spacing w:after="0" w:line="240" w:lineRule="auto"/>
      </w:pPr>
    </w:p>
    <w:p w14:paraId="67610C8C" w14:textId="252E19EC" w:rsidR="00D1410E" w:rsidRPr="00F93493" w:rsidRDefault="00D1410E" w:rsidP="00D1410E">
      <w:pPr>
        <w:spacing w:after="0" w:line="240" w:lineRule="auto"/>
      </w:pPr>
      <w:r w:rsidRPr="00F93493">
        <w:t>Please find request</w:t>
      </w:r>
      <w:r w:rsidR="000872E9" w:rsidRPr="00F93493">
        <w:t>ed data below.</w:t>
      </w:r>
    </w:p>
    <w:p w14:paraId="112B37C6" w14:textId="77777777" w:rsidR="00D1410E" w:rsidRPr="00F93493" w:rsidRDefault="00D1410E" w:rsidP="00D1410E">
      <w:pPr>
        <w:spacing w:after="0" w:line="240" w:lineRule="auto"/>
      </w:pPr>
    </w:p>
    <w:tbl>
      <w:tblPr>
        <w:tblW w:w="4260" w:type="dxa"/>
        <w:tblLook w:val="04A0" w:firstRow="1" w:lastRow="0" w:firstColumn="1" w:lastColumn="0" w:noHBand="0" w:noVBand="1"/>
      </w:tblPr>
      <w:tblGrid>
        <w:gridCol w:w="1360"/>
        <w:gridCol w:w="1460"/>
        <w:gridCol w:w="1515"/>
      </w:tblGrid>
      <w:tr w:rsidR="00F93493" w:rsidRPr="00A70C02" w14:paraId="632D6B61" w14:textId="77777777" w:rsidTr="00F93493">
        <w:trPr>
          <w:trHeight w:val="300"/>
        </w:trPr>
        <w:tc>
          <w:tcPr>
            <w:tcW w:w="1360" w:type="dxa"/>
            <w:tcBorders>
              <w:top w:val="single" w:sz="8" w:space="0" w:color="auto"/>
              <w:left w:val="single" w:sz="8" w:space="0" w:color="auto"/>
              <w:bottom w:val="single" w:sz="8" w:space="0" w:color="auto"/>
              <w:right w:val="single" w:sz="8" w:space="0" w:color="auto"/>
            </w:tcBorders>
            <w:shd w:val="clear" w:color="000000" w:fill="C0E6F5"/>
            <w:noWrap/>
            <w:vAlign w:val="center"/>
            <w:hideMark/>
          </w:tcPr>
          <w:p w14:paraId="067A2C41"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lang w:eastAsia="en-GB"/>
              </w:rPr>
              <w:t>Financial Year</w:t>
            </w:r>
          </w:p>
        </w:tc>
        <w:tc>
          <w:tcPr>
            <w:tcW w:w="1460" w:type="dxa"/>
            <w:tcBorders>
              <w:top w:val="single" w:sz="8" w:space="0" w:color="auto"/>
              <w:left w:val="nil"/>
              <w:bottom w:val="single" w:sz="8" w:space="0" w:color="auto"/>
              <w:right w:val="single" w:sz="8" w:space="0" w:color="auto"/>
            </w:tcBorders>
            <w:shd w:val="clear" w:color="000000" w:fill="C0E6F5"/>
            <w:noWrap/>
            <w:vAlign w:val="center"/>
            <w:hideMark/>
          </w:tcPr>
          <w:p w14:paraId="18007FF9"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lang w:eastAsia="en-GB"/>
              </w:rPr>
              <w:t>Trains Planned</w:t>
            </w:r>
          </w:p>
        </w:tc>
        <w:tc>
          <w:tcPr>
            <w:tcW w:w="1440" w:type="dxa"/>
            <w:tcBorders>
              <w:top w:val="single" w:sz="8" w:space="0" w:color="auto"/>
              <w:left w:val="nil"/>
              <w:bottom w:val="single" w:sz="8" w:space="0" w:color="auto"/>
              <w:right w:val="single" w:sz="8" w:space="0" w:color="auto"/>
            </w:tcBorders>
            <w:shd w:val="clear" w:color="000000" w:fill="C0E6F5"/>
            <w:noWrap/>
            <w:vAlign w:val="center"/>
            <w:hideMark/>
          </w:tcPr>
          <w:p w14:paraId="663A3C6F"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lang w:eastAsia="en-GB"/>
              </w:rPr>
              <w:t>Cancellations*</w:t>
            </w:r>
          </w:p>
        </w:tc>
      </w:tr>
      <w:tr w:rsidR="00F93493" w:rsidRPr="00A70C02" w14:paraId="05E0866B" w14:textId="77777777" w:rsidTr="00F93493">
        <w:trPr>
          <w:trHeight w:val="300"/>
        </w:trPr>
        <w:tc>
          <w:tcPr>
            <w:tcW w:w="1360" w:type="dxa"/>
            <w:tcBorders>
              <w:top w:val="nil"/>
              <w:left w:val="single" w:sz="8" w:space="0" w:color="auto"/>
              <w:bottom w:val="single" w:sz="8" w:space="0" w:color="auto"/>
              <w:right w:val="single" w:sz="8" w:space="0" w:color="auto"/>
            </w:tcBorders>
            <w:noWrap/>
            <w:vAlign w:val="center"/>
            <w:hideMark/>
          </w:tcPr>
          <w:p w14:paraId="607D4825"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2020/21</w:t>
            </w:r>
          </w:p>
        </w:tc>
        <w:tc>
          <w:tcPr>
            <w:tcW w:w="1460" w:type="dxa"/>
            <w:tcBorders>
              <w:top w:val="nil"/>
              <w:left w:val="nil"/>
              <w:bottom w:val="single" w:sz="8" w:space="0" w:color="auto"/>
              <w:right w:val="single" w:sz="8" w:space="0" w:color="auto"/>
            </w:tcBorders>
            <w:noWrap/>
            <w:vAlign w:val="center"/>
            <w:hideMark/>
          </w:tcPr>
          <w:p w14:paraId="4145A076" w14:textId="48E8E629"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218</w:t>
            </w:r>
            <w:r w:rsidR="00C81A2B">
              <w:rPr>
                <w:rFonts w:ascii="Calibri" w:eastAsia="Times New Roman" w:hAnsi="Calibri" w:cs="Calibri"/>
                <w:color w:val="000000"/>
                <w:lang w:eastAsia="en-GB"/>
              </w:rPr>
              <w:t>,</w:t>
            </w:r>
            <w:r w:rsidRPr="00A70C02">
              <w:rPr>
                <w:rFonts w:ascii="Calibri" w:eastAsia="Times New Roman" w:hAnsi="Calibri" w:cs="Calibri"/>
                <w:color w:val="000000"/>
                <w:lang w:eastAsia="en-GB"/>
              </w:rPr>
              <w:t>333</w:t>
            </w:r>
          </w:p>
        </w:tc>
        <w:tc>
          <w:tcPr>
            <w:tcW w:w="1440" w:type="dxa"/>
            <w:tcBorders>
              <w:top w:val="nil"/>
              <w:left w:val="nil"/>
              <w:bottom w:val="single" w:sz="8" w:space="0" w:color="auto"/>
              <w:right w:val="single" w:sz="8" w:space="0" w:color="auto"/>
            </w:tcBorders>
            <w:noWrap/>
            <w:vAlign w:val="center"/>
            <w:hideMark/>
          </w:tcPr>
          <w:p w14:paraId="2729B3B9" w14:textId="0287E110"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888</w:t>
            </w:r>
          </w:p>
        </w:tc>
      </w:tr>
      <w:tr w:rsidR="00F93493" w:rsidRPr="00A70C02" w14:paraId="69907BD1" w14:textId="77777777" w:rsidTr="00F93493">
        <w:trPr>
          <w:trHeight w:val="300"/>
        </w:trPr>
        <w:tc>
          <w:tcPr>
            <w:tcW w:w="1360" w:type="dxa"/>
            <w:tcBorders>
              <w:top w:val="nil"/>
              <w:left w:val="single" w:sz="8" w:space="0" w:color="auto"/>
              <w:bottom w:val="single" w:sz="8" w:space="0" w:color="auto"/>
              <w:right w:val="single" w:sz="8" w:space="0" w:color="auto"/>
            </w:tcBorders>
            <w:noWrap/>
            <w:vAlign w:val="center"/>
            <w:hideMark/>
          </w:tcPr>
          <w:p w14:paraId="119171EB"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2021/22</w:t>
            </w:r>
          </w:p>
        </w:tc>
        <w:tc>
          <w:tcPr>
            <w:tcW w:w="1460" w:type="dxa"/>
            <w:tcBorders>
              <w:top w:val="nil"/>
              <w:left w:val="nil"/>
              <w:bottom w:val="single" w:sz="8" w:space="0" w:color="auto"/>
              <w:right w:val="single" w:sz="8" w:space="0" w:color="auto"/>
            </w:tcBorders>
            <w:noWrap/>
            <w:vAlign w:val="center"/>
            <w:hideMark/>
          </w:tcPr>
          <w:p w14:paraId="13CBFCF2" w14:textId="7F62401F"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259</w:t>
            </w:r>
            <w:r w:rsidR="00545B7C">
              <w:rPr>
                <w:rFonts w:ascii="Calibri" w:eastAsia="Times New Roman" w:hAnsi="Calibri" w:cs="Calibri"/>
                <w:color w:val="000000"/>
                <w:lang w:eastAsia="en-GB"/>
              </w:rPr>
              <w:t>,</w:t>
            </w:r>
            <w:r w:rsidRPr="00A70C02">
              <w:rPr>
                <w:rFonts w:ascii="Calibri" w:eastAsia="Times New Roman" w:hAnsi="Calibri" w:cs="Calibri"/>
                <w:color w:val="000000"/>
                <w:lang w:eastAsia="en-GB"/>
              </w:rPr>
              <w:t>443</w:t>
            </w:r>
          </w:p>
        </w:tc>
        <w:tc>
          <w:tcPr>
            <w:tcW w:w="1440" w:type="dxa"/>
            <w:tcBorders>
              <w:top w:val="nil"/>
              <w:left w:val="nil"/>
              <w:bottom w:val="single" w:sz="8" w:space="0" w:color="auto"/>
              <w:right w:val="single" w:sz="8" w:space="0" w:color="auto"/>
            </w:tcBorders>
            <w:noWrap/>
            <w:vAlign w:val="center"/>
            <w:hideMark/>
          </w:tcPr>
          <w:p w14:paraId="13B388B6" w14:textId="3A2041C4"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10</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324</w:t>
            </w:r>
          </w:p>
        </w:tc>
      </w:tr>
      <w:tr w:rsidR="00F93493" w:rsidRPr="00A70C02" w14:paraId="355E96F1" w14:textId="77777777" w:rsidTr="00F93493">
        <w:trPr>
          <w:trHeight w:val="300"/>
        </w:trPr>
        <w:tc>
          <w:tcPr>
            <w:tcW w:w="1360" w:type="dxa"/>
            <w:tcBorders>
              <w:top w:val="nil"/>
              <w:left w:val="single" w:sz="8" w:space="0" w:color="auto"/>
              <w:bottom w:val="single" w:sz="8" w:space="0" w:color="auto"/>
              <w:right w:val="single" w:sz="8" w:space="0" w:color="auto"/>
            </w:tcBorders>
            <w:noWrap/>
            <w:vAlign w:val="center"/>
            <w:hideMark/>
          </w:tcPr>
          <w:p w14:paraId="66EAE8A0"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2022/23</w:t>
            </w:r>
          </w:p>
        </w:tc>
        <w:tc>
          <w:tcPr>
            <w:tcW w:w="1460" w:type="dxa"/>
            <w:tcBorders>
              <w:top w:val="nil"/>
              <w:left w:val="nil"/>
              <w:bottom w:val="single" w:sz="8" w:space="0" w:color="auto"/>
              <w:right w:val="single" w:sz="8" w:space="0" w:color="auto"/>
            </w:tcBorders>
            <w:noWrap/>
            <w:vAlign w:val="center"/>
            <w:hideMark/>
          </w:tcPr>
          <w:p w14:paraId="5CEB2AF3" w14:textId="20F6A118"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308</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682</w:t>
            </w:r>
          </w:p>
        </w:tc>
        <w:tc>
          <w:tcPr>
            <w:tcW w:w="1440" w:type="dxa"/>
            <w:tcBorders>
              <w:top w:val="nil"/>
              <w:left w:val="nil"/>
              <w:bottom w:val="single" w:sz="8" w:space="0" w:color="auto"/>
              <w:right w:val="single" w:sz="8" w:space="0" w:color="auto"/>
            </w:tcBorders>
            <w:noWrap/>
            <w:vAlign w:val="center"/>
            <w:hideMark/>
          </w:tcPr>
          <w:p w14:paraId="44DB8A8A" w14:textId="5687FDCB"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13</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758</w:t>
            </w:r>
          </w:p>
        </w:tc>
      </w:tr>
      <w:tr w:rsidR="00F93493" w:rsidRPr="00A70C02" w14:paraId="490A9242" w14:textId="77777777" w:rsidTr="00F93493">
        <w:trPr>
          <w:trHeight w:val="300"/>
        </w:trPr>
        <w:tc>
          <w:tcPr>
            <w:tcW w:w="1360" w:type="dxa"/>
            <w:tcBorders>
              <w:top w:val="nil"/>
              <w:left w:val="single" w:sz="8" w:space="0" w:color="auto"/>
              <w:bottom w:val="single" w:sz="8" w:space="0" w:color="auto"/>
              <w:right w:val="single" w:sz="8" w:space="0" w:color="auto"/>
            </w:tcBorders>
            <w:noWrap/>
            <w:vAlign w:val="center"/>
            <w:hideMark/>
          </w:tcPr>
          <w:p w14:paraId="08D167FB"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2023/24</w:t>
            </w:r>
          </w:p>
        </w:tc>
        <w:tc>
          <w:tcPr>
            <w:tcW w:w="1460" w:type="dxa"/>
            <w:tcBorders>
              <w:top w:val="nil"/>
              <w:left w:val="nil"/>
              <w:bottom w:val="single" w:sz="8" w:space="0" w:color="auto"/>
              <w:right w:val="single" w:sz="8" w:space="0" w:color="auto"/>
            </w:tcBorders>
            <w:noWrap/>
            <w:vAlign w:val="center"/>
            <w:hideMark/>
          </w:tcPr>
          <w:p w14:paraId="648EC626" w14:textId="308EE991"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314</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837</w:t>
            </w:r>
          </w:p>
        </w:tc>
        <w:tc>
          <w:tcPr>
            <w:tcW w:w="1440" w:type="dxa"/>
            <w:tcBorders>
              <w:top w:val="nil"/>
              <w:left w:val="nil"/>
              <w:bottom w:val="single" w:sz="8" w:space="0" w:color="auto"/>
              <w:right w:val="single" w:sz="8" w:space="0" w:color="auto"/>
            </w:tcBorders>
            <w:noWrap/>
            <w:vAlign w:val="center"/>
            <w:hideMark/>
          </w:tcPr>
          <w:p w14:paraId="545481F6" w14:textId="13239140"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15</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927</w:t>
            </w:r>
          </w:p>
        </w:tc>
      </w:tr>
      <w:tr w:rsidR="00F93493" w:rsidRPr="00A70C02" w14:paraId="7062C15F" w14:textId="77777777" w:rsidTr="00F93493">
        <w:trPr>
          <w:trHeight w:val="300"/>
        </w:trPr>
        <w:tc>
          <w:tcPr>
            <w:tcW w:w="1360" w:type="dxa"/>
            <w:tcBorders>
              <w:top w:val="nil"/>
              <w:left w:val="single" w:sz="8" w:space="0" w:color="auto"/>
              <w:bottom w:val="single" w:sz="8" w:space="0" w:color="auto"/>
              <w:right w:val="single" w:sz="8" w:space="0" w:color="auto"/>
            </w:tcBorders>
            <w:noWrap/>
            <w:vAlign w:val="center"/>
            <w:hideMark/>
          </w:tcPr>
          <w:p w14:paraId="3599CA4A" w14:textId="77777777" w:rsidR="00F93493" w:rsidRPr="00A70C02" w:rsidRDefault="00F93493" w:rsidP="00F9349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2024/25</w:t>
            </w:r>
          </w:p>
        </w:tc>
        <w:tc>
          <w:tcPr>
            <w:tcW w:w="1460" w:type="dxa"/>
            <w:tcBorders>
              <w:top w:val="nil"/>
              <w:left w:val="nil"/>
              <w:bottom w:val="single" w:sz="8" w:space="0" w:color="auto"/>
              <w:right w:val="single" w:sz="8" w:space="0" w:color="auto"/>
            </w:tcBorders>
            <w:noWrap/>
            <w:vAlign w:val="center"/>
            <w:hideMark/>
          </w:tcPr>
          <w:p w14:paraId="67F24A54" w14:textId="75A31CF7"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354</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410</w:t>
            </w:r>
          </w:p>
        </w:tc>
        <w:tc>
          <w:tcPr>
            <w:tcW w:w="1440" w:type="dxa"/>
            <w:tcBorders>
              <w:top w:val="nil"/>
              <w:left w:val="nil"/>
              <w:bottom w:val="single" w:sz="8" w:space="0" w:color="auto"/>
              <w:right w:val="single" w:sz="8" w:space="0" w:color="auto"/>
            </w:tcBorders>
            <w:noWrap/>
            <w:vAlign w:val="center"/>
            <w:hideMark/>
          </w:tcPr>
          <w:p w14:paraId="551A635D" w14:textId="0D9B1FE7" w:rsidR="00F93493" w:rsidRPr="00A70C02" w:rsidRDefault="00F93493" w:rsidP="00F9349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18</w:t>
            </w:r>
            <w:r w:rsidR="00667FEC">
              <w:rPr>
                <w:rFonts w:ascii="Calibri" w:eastAsia="Times New Roman" w:hAnsi="Calibri" w:cs="Calibri"/>
                <w:color w:val="000000"/>
                <w:lang w:eastAsia="en-GB"/>
              </w:rPr>
              <w:t>,</w:t>
            </w:r>
            <w:r w:rsidRPr="00A70C02">
              <w:rPr>
                <w:rFonts w:ascii="Calibri" w:eastAsia="Times New Roman" w:hAnsi="Calibri" w:cs="Calibri"/>
                <w:color w:val="000000"/>
                <w:lang w:eastAsia="en-GB"/>
              </w:rPr>
              <w:t>947</w:t>
            </w:r>
          </w:p>
        </w:tc>
      </w:tr>
    </w:tbl>
    <w:p w14:paraId="42075C81" w14:textId="77777777" w:rsidR="00D1410E" w:rsidRPr="00A70C02" w:rsidRDefault="00D1410E" w:rsidP="00D1410E">
      <w:pPr>
        <w:spacing w:after="0" w:line="240" w:lineRule="auto"/>
      </w:pPr>
    </w:p>
    <w:p w14:paraId="5575E239" w14:textId="77777777" w:rsidR="00D1410E" w:rsidRPr="00470147" w:rsidRDefault="00D1410E" w:rsidP="00D1410E">
      <w:pPr>
        <w:spacing w:after="0" w:line="240" w:lineRule="auto"/>
      </w:pPr>
      <w:r w:rsidRPr="00470147">
        <w:t>* Industry standard cancellation score, full cancellations count as 1, and part cancellations count as 0.5</w:t>
      </w:r>
    </w:p>
    <w:p w14:paraId="2674995F" w14:textId="77777777" w:rsidR="00D1410E" w:rsidRDefault="00D1410E" w:rsidP="00D1410E">
      <w:pPr>
        <w:spacing w:after="0" w:line="240" w:lineRule="auto"/>
        <w:rPr>
          <w:b/>
          <w:bCs/>
        </w:rPr>
      </w:pPr>
    </w:p>
    <w:p w14:paraId="0FAA8223" w14:textId="77777777" w:rsidR="00296B08" w:rsidRDefault="00296B08" w:rsidP="00D1410E">
      <w:pPr>
        <w:spacing w:after="0" w:line="240" w:lineRule="auto"/>
        <w:rPr>
          <w:b/>
          <w:bCs/>
        </w:rPr>
      </w:pPr>
    </w:p>
    <w:p w14:paraId="47F1BEE0" w14:textId="77777777" w:rsidR="00296B08" w:rsidRDefault="00296B08" w:rsidP="00D1410E">
      <w:pPr>
        <w:spacing w:after="0" w:line="240" w:lineRule="auto"/>
        <w:rPr>
          <w:b/>
          <w:bCs/>
        </w:rPr>
      </w:pPr>
    </w:p>
    <w:p w14:paraId="19D65AE7" w14:textId="77777777" w:rsidR="00296B08" w:rsidRDefault="00296B08" w:rsidP="00D1410E">
      <w:pPr>
        <w:spacing w:after="0" w:line="240" w:lineRule="auto"/>
        <w:rPr>
          <w:b/>
          <w:bCs/>
        </w:rPr>
      </w:pPr>
    </w:p>
    <w:p w14:paraId="30C92E99" w14:textId="77777777" w:rsidR="00296B08" w:rsidRDefault="00296B08" w:rsidP="00D1410E">
      <w:pPr>
        <w:spacing w:after="0" w:line="240" w:lineRule="auto"/>
        <w:rPr>
          <w:b/>
          <w:bCs/>
        </w:rPr>
      </w:pPr>
    </w:p>
    <w:p w14:paraId="6BB15F80" w14:textId="77777777" w:rsidR="00296B08" w:rsidRDefault="00296B08" w:rsidP="00D1410E">
      <w:pPr>
        <w:spacing w:after="0" w:line="240" w:lineRule="auto"/>
        <w:rPr>
          <w:b/>
          <w:bCs/>
        </w:rPr>
      </w:pPr>
    </w:p>
    <w:p w14:paraId="1EA8BD00" w14:textId="77777777" w:rsidR="00296B08" w:rsidRDefault="00296B08" w:rsidP="00D1410E">
      <w:pPr>
        <w:spacing w:after="0" w:line="240" w:lineRule="auto"/>
        <w:rPr>
          <w:b/>
          <w:bCs/>
        </w:rPr>
      </w:pPr>
    </w:p>
    <w:p w14:paraId="7C339064" w14:textId="77777777" w:rsidR="00296B08" w:rsidRDefault="00296B08" w:rsidP="00D1410E">
      <w:pPr>
        <w:spacing w:after="0" w:line="240" w:lineRule="auto"/>
        <w:rPr>
          <w:b/>
          <w:bCs/>
        </w:rPr>
      </w:pPr>
    </w:p>
    <w:p w14:paraId="21C7ABD9" w14:textId="77777777" w:rsidR="00296B08" w:rsidRPr="00D1410E" w:rsidRDefault="00296B08" w:rsidP="00D1410E">
      <w:pPr>
        <w:spacing w:after="0" w:line="240" w:lineRule="auto"/>
        <w:rPr>
          <w:b/>
          <w:bCs/>
        </w:rPr>
      </w:pPr>
    </w:p>
    <w:tbl>
      <w:tblPr>
        <w:tblW w:w="4860" w:type="dxa"/>
        <w:tblLook w:val="04A0" w:firstRow="1" w:lastRow="0" w:firstColumn="1" w:lastColumn="0" w:noHBand="0" w:noVBand="1"/>
      </w:tblPr>
      <w:tblGrid>
        <w:gridCol w:w="3420"/>
        <w:gridCol w:w="1515"/>
      </w:tblGrid>
      <w:tr w:rsidR="00CC3783" w:rsidRPr="00A70C02" w14:paraId="168E6C5D" w14:textId="77777777" w:rsidTr="00CC3783">
        <w:trPr>
          <w:trHeight w:val="300"/>
        </w:trPr>
        <w:tc>
          <w:tcPr>
            <w:tcW w:w="3420" w:type="dxa"/>
            <w:tcBorders>
              <w:top w:val="single" w:sz="8" w:space="0" w:color="auto"/>
              <w:left w:val="single" w:sz="8" w:space="0" w:color="auto"/>
              <w:bottom w:val="single" w:sz="8" w:space="0" w:color="auto"/>
              <w:right w:val="single" w:sz="8" w:space="0" w:color="auto"/>
            </w:tcBorders>
            <w:shd w:val="clear" w:color="000000" w:fill="C0E6F5"/>
            <w:noWrap/>
            <w:vAlign w:val="center"/>
            <w:hideMark/>
          </w:tcPr>
          <w:p w14:paraId="54A27A94"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lang w:eastAsia="en-GB"/>
              </w:rPr>
              <w:lastRenderedPageBreak/>
              <w:t>Financial Year + WSM Responsibility</w:t>
            </w:r>
          </w:p>
        </w:tc>
        <w:tc>
          <w:tcPr>
            <w:tcW w:w="1440" w:type="dxa"/>
            <w:tcBorders>
              <w:top w:val="single" w:sz="8" w:space="0" w:color="auto"/>
              <w:left w:val="nil"/>
              <w:bottom w:val="single" w:sz="8" w:space="0" w:color="auto"/>
              <w:right w:val="single" w:sz="8" w:space="0" w:color="auto"/>
            </w:tcBorders>
            <w:shd w:val="clear" w:color="000000" w:fill="C0E6F5"/>
            <w:noWrap/>
            <w:vAlign w:val="center"/>
            <w:hideMark/>
          </w:tcPr>
          <w:p w14:paraId="78455302"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lang w:eastAsia="en-GB"/>
              </w:rPr>
              <w:t>Cancellations*</w:t>
            </w:r>
          </w:p>
        </w:tc>
      </w:tr>
      <w:tr w:rsidR="00CC3783" w:rsidRPr="00A70C02" w14:paraId="56229EB3"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70DFF058"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2021</w:t>
            </w:r>
          </w:p>
        </w:tc>
        <w:tc>
          <w:tcPr>
            <w:tcW w:w="1440" w:type="dxa"/>
            <w:tcBorders>
              <w:top w:val="nil"/>
              <w:left w:val="nil"/>
              <w:bottom w:val="single" w:sz="8" w:space="0" w:color="auto"/>
              <w:right w:val="single" w:sz="8" w:space="0" w:color="auto"/>
            </w:tcBorders>
            <w:noWrap/>
            <w:vAlign w:val="center"/>
            <w:hideMark/>
          </w:tcPr>
          <w:p w14:paraId="5A144186" w14:textId="215ABF31"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888</w:t>
            </w:r>
          </w:p>
        </w:tc>
      </w:tr>
      <w:tr w:rsidR="00CC3783" w:rsidRPr="00A70C02" w14:paraId="08C9111C"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092F1DE2"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External Factors</w:t>
            </w:r>
          </w:p>
        </w:tc>
        <w:tc>
          <w:tcPr>
            <w:tcW w:w="1440" w:type="dxa"/>
            <w:tcBorders>
              <w:top w:val="nil"/>
              <w:left w:val="nil"/>
              <w:bottom w:val="single" w:sz="8" w:space="0" w:color="auto"/>
              <w:right w:val="single" w:sz="8" w:space="0" w:color="auto"/>
            </w:tcBorders>
            <w:noWrap/>
            <w:vAlign w:val="center"/>
            <w:hideMark/>
          </w:tcPr>
          <w:p w14:paraId="6F9A2D4F" w14:textId="3165879A"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235</w:t>
            </w:r>
          </w:p>
        </w:tc>
      </w:tr>
      <w:tr w:rsidR="00CC3783" w:rsidRPr="00A70C02" w14:paraId="3367DFC7"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24A217BF"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Fixed Infrastructure</w:t>
            </w:r>
          </w:p>
        </w:tc>
        <w:tc>
          <w:tcPr>
            <w:tcW w:w="1440" w:type="dxa"/>
            <w:tcBorders>
              <w:top w:val="nil"/>
              <w:left w:val="nil"/>
              <w:bottom w:val="single" w:sz="8" w:space="0" w:color="auto"/>
              <w:right w:val="single" w:sz="8" w:space="0" w:color="auto"/>
            </w:tcBorders>
            <w:noWrap/>
            <w:vAlign w:val="center"/>
            <w:hideMark/>
          </w:tcPr>
          <w:p w14:paraId="7975B32E"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797</w:t>
            </w:r>
          </w:p>
        </w:tc>
      </w:tr>
      <w:tr w:rsidR="00CC3783" w:rsidRPr="00A70C02" w14:paraId="495D5036"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330096B5"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Fleet</w:t>
            </w:r>
          </w:p>
        </w:tc>
        <w:tc>
          <w:tcPr>
            <w:tcW w:w="1440" w:type="dxa"/>
            <w:tcBorders>
              <w:top w:val="nil"/>
              <w:left w:val="nil"/>
              <w:bottom w:val="single" w:sz="8" w:space="0" w:color="auto"/>
              <w:right w:val="single" w:sz="8" w:space="0" w:color="auto"/>
            </w:tcBorders>
            <w:noWrap/>
            <w:vAlign w:val="center"/>
            <w:hideMark/>
          </w:tcPr>
          <w:p w14:paraId="38A2672F"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822.5</w:t>
            </w:r>
          </w:p>
        </w:tc>
      </w:tr>
      <w:tr w:rsidR="00CC3783" w:rsidRPr="00A70C02" w14:paraId="0E7DDBFC"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1BDB152A"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Operating Plan</w:t>
            </w:r>
          </w:p>
        </w:tc>
        <w:tc>
          <w:tcPr>
            <w:tcW w:w="1440" w:type="dxa"/>
            <w:tcBorders>
              <w:top w:val="nil"/>
              <w:left w:val="nil"/>
              <w:bottom w:val="single" w:sz="8" w:space="0" w:color="auto"/>
              <w:right w:val="single" w:sz="8" w:space="0" w:color="auto"/>
            </w:tcBorders>
            <w:noWrap/>
            <w:vAlign w:val="center"/>
            <w:hideMark/>
          </w:tcPr>
          <w:p w14:paraId="3EC7B52A"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489.5</w:t>
            </w:r>
          </w:p>
        </w:tc>
      </w:tr>
      <w:tr w:rsidR="00CC3783" w:rsidRPr="00A70C02" w14:paraId="0FC2F6B8"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0D6D1037"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People</w:t>
            </w:r>
          </w:p>
        </w:tc>
        <w:tc>
          <w:tcPr>
            <w:tcW w:w="1440" w:type="dxa"/>
            <w:tcBorders>
              <w:top w:val="nil"/>
              <w:left w:val="nil"/>
              <w:bottom w:val="single" w:sz="8" w:space="0" w:color="auto"/>
              <w:right w:val="single" w:sz="8" w:space="0" w:color="auto"/>
            </w:tcBorders>
            <w:noWrap/>
            <w:vAlign w:val="center"/>
            <w:hideMark/>
          </w:tcPr>
          <w:p w14:paraId="2C13D444"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543.5</w:t>
            </w:r>
          </w:p>
        </w:tc>
      </w:tr>
      <w:tr w:rsidR="00CC3783" w:rsidRPr="00A70C02" w14:paraId="701E7BD5"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457FA54B"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Performance Management</w:t>
            </w:r>
          </w:p>
        </w:tc>
        <w:tc>
          <w:tcPr>
            <w:tcW w:w="1440" w:type="dxa"/>
            <w:tcBorders>
              <w:top w:val="nil"/>
              <w:left w:val="nil"/>
              <w:bottom w:val="single" w:sz="8" w:space="0" w:color="auto"/>
              <w:right w:val="single" w:sz="8" w:space="0" w:color="auto"/>
            </w:tcBorders>
            <w:noWrap/>
            <w:vAlign w:val="center"/>
            <w:hideMark/>
          </w:tcPr>
          <w:p w14:paraId="4CF50DC7"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0.5</w:t>
            </w:r>
          </w:p>
        </w:tc>
      </w:tr>
      <w:tr w:rsidR="00CC3783" w:rsidRPr="00A70C02" w14:paraId="20239293"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5C8193D6"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2022</w:t>
            </w:r>
          </w:p>
        </w:tc>
        <w:tc>
          <w:tcPr>
            <w:tcW w:w="1440" w:type="dxa"/>
            <w:tcBorders>
              <w:top w:val="nil"/>
              <w:left w:val="nil"/>
              <w:bottom w:val="single" w:sz="8" w:space="0" w:color="auto"/>
              <w:right w:val="single" w:sz="8" w:space="0" w:color="auto"/>
            </w:tcBorders>
            <w:noWrap/>
            <w:vAlign w:val="center"/>
            <w:hideMark/>
          </w:tcPr>
          <w:p w14:paraId="72116383" w14:textId="1F0FFFC1"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10</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324</w:t>
            </w:r>
          </w:p>
        </w:tc>
      </w:tr>
      <w:tr w:rsidR="00CC3783" w:rsidRPr="00A70C02" w14:paraId="27D0CEBD"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0FBAE028"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External Factors</w:t>
            </w:r>
          </w:p>
        </w:tc>
        <w:tc>
          <w:tcPr>
            <w:tcW w:w="1440" w:type="dxa"/>
            <w:tcBorders>
              <w:top w:val="nil"/>
              <w:left w:val="nil"/>
              <w:bottom w:val="single" w:sz="8" w:space="0" w:color="auto"/>
              <w:right w:val="single" w:sz="8" w:space="0" w:color="auto"/>
            </w:tcBorders>
            <w:noWrap/>
            <w:vAlign w:val="center"/>
            <w:hideMark/>
          </w:tcPr>
          <w:p w14:paraId="0F360E57" w14:textId="43D35CAA"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395.5</w:t>
            </w:r>
          </w:p>
        </w:tc>
      </w:tr>
      <w:tr w:rsidR="00CC3783" w:rsidRPr="00A70C02" w14:paraId="792E973F"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1097E5CE"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Fixed Infrastructure</w:t>
            </w:r>
          </w:p>
        </w:tc>
        <w:tc>
          <w:tcPr>
            <w:tcW w:w="1440" w:type="dxa"/>
            <w:tcBorders>
              <w:top w:val="nil"/>
              <w:left w:val="nil"/>
              <w:bottom w:val="single" w:sz="8" w:space="0" w:color="auto"/>
              <w:right w:val="single" w:sz="8" w:space="0" w:color="auto"/>
            </w:tcBorders>
            <w:noWrap/>
            <w:vAlign w:val="center"/>
            <w:hideMark/>
          </w:tcPr>
          <w:p w14:paraId="2E57CBB4" w14:textId="1E96BF86"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329</w:t>
            </w:r>
          </w:p>
        </w:tc>
      </w:tr>
      <w:tr w:rsidR="00CC3783" w:rsidRPr="00A70C02" w14:paraId="3DF10C35"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0B6D4A72"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Fleet</w:t>
            </w:r>
          </w:p>
        </w:tc>
        <w:tc>
          <w:tcPr>
            <w:tcW w:w="1440" w:type="dxa"/>
            <w:tcBorders>
              <w:top w:val="nil"/>
              <w:left w:val="nil"/>
              <w:bottom w:val="single" w:sz="8" w:space="0" w:color="auto"/>
              <w:right w:val="single" w:sz="8" w:space="0" w:color="auto"/>
            </w:tcBorders>
            <w:noWrap/>
            <w:vAlign w:val="center"/>
            <w:hideMark/>
          </w:tcPr>
          <w:p w14:paraId="7ACDA2F2" w14:textId="183E4263"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599.5</w:t>
            </w:r>
          </w:p>
        </w:tc>
      </w:tr>
      <w:tr w:rsidR="00CC3783" w:rsidRPr="00A70C02" w14:paraId="11E561BA"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36E357A"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Operating Plan</w:t>
            </w:r>
          </w:p>
        </w:tc>
        <w:tc>
          <w:tcPr>
            <w:tcW w:w="1440" w:type="dxa"/>
            <w:tcBorders>
              <w:top w:val="nil"/>
              <w:left w:val="nil"/>
              <w:bottom w:val="single" w:sz="8" w:space="0" w:color="auto"/>
              <w:right w:val="single" w:sz="8" w:space="0" w:color="auto"/>
            </w:tcBorders>
            <w:noWrap/>
            <w:vAlign w:val="center"/>
            <w:hideMark/>
          </w:tcPr>
          <w:p w14:paraId="16067C90" w14:textId="2785871D"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103.5</w:t>
            </w:r>
          </w:p>
        </w:tc>
      </w:tr>
      <w:tr w:rsidR="00CC3783" w:rsidRPr="00A70C02" w14:paraId="460DF443"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27E2E600"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People</w:t>
            </w:r>
          </w:p>
        </w:tc>
        <w:tc>
          <w:tcPr>
            <w:tcW w:w="1440" w:type="dxa"/>
            <w:tcBorders>
              <w:top w:val="nil"/>
              <w:left w:val="nil"/>
              <w:bottom w:val="single" w:sz="8" w:space="0" w:color="auto"/>
              <w:right w:val="single" w:sz="8" w:space="0" w:color="auto"/>
            </w:tcBorders>
            <w:noWrap/>
            <w:vAlign w:val="center"/>
            <w:hideMark/>
          </w:tcPr>
          <w:p w14:paraId="469E6823" w14:textId="489D3163"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879</w:t>
            </w:r>
          </w:p>
        </w:tc>
      </w:tr>
      <w:tr w:rsidR="00CC3783" w:rsidRPr="00A70C02" w14:paraId="2C51F3B4"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2060773F"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Performance Management</w:t>
            </w:r>
          </w:p>
        </w:tc>
        <w:tc>
          <w:tcPr>
            <w:tcW w:w="1440" w:type="dxa"/>
            <w:tcBorders>
              <w:top w:val="nil"/>
              <w:left w:val="nil"/>
              <w:bottom w:val="single" w:sz="8" w:space="0" w:color="auto"/>
              <w:right w:val="single" w:sz="8" w:space="0" w:color="auto"/>
            </w:tcBorders>
            <w:noWrap/>
            <w:vAlign w:val="center"/>
            <w:hideMark/>
          </w:tcPr>
          <w:p w14:paraId="2FCB7B9D"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17.5</w:t>
            </w:r>
          </w:p>
        </w:tc>
      </w:tr>
      <w:tr w:rsidR="00CC3783" w:rsidRPr="00A70C02" w14:paraId="0DB8BEBD"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5EFF06AC"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2023</w:t>
            </w:r>
          </w:p>
        </w:tc>
        <w:tc>
          <w:tcPr>
            <w:tcW w:w="1440" w:type="dxa"/>
            <w:tcBorders>
              <w:top w:val="nil"/>
              <w:left w:val="nil"/>
              <w:bottom w:val="single" w:sz="8" w:space="0" w:color="auto"/>
              <w:right w:val="single" w:sz="8" w:space="0" w:color="auto"/>
            </w:tcBorders>
            <w:noWrap/>
            <w:vAlign w:val="center"/>
            <w:hideMark/>
          </w:tcPr>
          <w:p w14:paraId="78AFDCDB" w14:textId="1FA04E09"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13</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758</w:t>
            </w:r>
          </w:p>
        </w:tc>
      </w:tr>
      <w:tr w:rsidR="00CC3783" w:rsidRPr="00A70C02" w14:paraId="25A25B0C"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037A11D6"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External Factors</w:t>
            </w:r>
          </w:p>
        </w:tc>
        <w:tc>
          <w:tcPr>
            <w:tcW w:w="1440" w:type="dxa"/>
            <w:tcBorders>
              <w:top w:val="nil"/>
              <w:left w:val="nil"/>
              <w:bottom w:val="single" w:sz="8" w:space="0" w:color="auto"/>
              <w:right w:val="single" w:sz="8" w:space="0" w:color="auto"/>
            </w:tcBorders>
            <w:noWrap/>
            <w:vAlign w:val="center"/>
            <w:hideMark/>
          </w:tcPr>
          <w:p w14:paraId="7D0AE28E" w14:textId="63DE6F08"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037.5</w:t>
            </w:r>
          </w:p>
        </w:tc>
      </w:tr>
      <w:tr w:rsidR="00CC3783" w:rsidRPr="00A70C02" w14:paraId="45AF2C30"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08B9FC4"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Fixed Infrastructure</w:t>
            </w:r>
          </w:p>
        </w:tc>
        <w:tc>
          <w:tcPr>
            <w:tcW w:w="1440" w:type="dxa"/>
            <w:tcBorders>
              <w:top w:val="nil"/>
              <w:left w:val="nil"/>
              <w:bottom w:val="single" w:sz="8" w:space="0" w:color="auto"/>
              <w:right w:val="single" w:sz="8" w:space="0" w:color="auto"/>
            </w:tcBorders>
            <w:noWrap/>
            <w:vAlign w:val="center"/>
            <w:hideMark/>
          </w:tcPr>
          <w:p w14:paraId="677D1C2F" w14:textId="675675D9"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737.5</w:t>
            </w:r>
          </w:p>
        </w:tc>
      </w:tr>
      <w:tr w:rsidR="00CC3783" w:rsidRPr="00A70C02" w14:paraId="112F6A0E"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C3F039A"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Fleet</w:t>
            </w:r>
          </w:p>
        </w:tc>
        <w:tc>
          <w:tcPr>
            <w:tcW w:w="1440" w:type="dxa"/>
            <w:tcBorders>
              <w:top w:val="nil"/>
              <w:left w:val="nil"/>
              <w:bottom w:val="single" w:sz="8" w:space="0" w:color="auto"/>
              <w:right w:val="single" w:sz="8" w:space="0" w:color="auto"/>
            </w:tcBorders>
            <w:noWrap/>
            <w:vAlign w:val="center"/>
            <w:hideMark/>
          </w:tcPr>
          <w:p w14:paraId="487A26CD" w14:textId="7AF3EDE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5</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822.5</w:t>
            </w:r>
          </w:p>
        </w:tc>
      </w:tr>
      <w:tr w:rsidR="00CC3783" w:rsidRPr="00A70C02" w14:paraId="7E095785"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3045DEC"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Operating Plan</w:t>
            </w:r>
          </w:p>
        </w:tc>
        <w:tc>
          <w:tcPr>
            <w:tcW w:w="1440" w:type="dxa"/>
            <w:tcBorders>
              <w:top w:val="nil"/>
              <w:left w:val="nil"/>
              <w:bottom w:val="single" w:sz="8" w:space="0" w:color="auto"/>
              <w:right w:val="single" w:sz="8" w:space="0" w:color="auto"/>
            </w:tcBorders>
            <w:noWrap/>
            <w:vAlign w:val="center"/>
            <w:hideMark/>
          </w:tcPr>
          <w:p w14:paraId="39940179" w14:textId="7AFAC295"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059</w:t>
            </w:r>
          </w:p>
        </w:tc>
      </w:tr>
      <w:tr w:rsidR="00CC3783" w:rsidRPr="00A70C02" w14:paraId="21D0E403"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476F7DFB"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People</w:t>
            </w:r>
          </w:p>
        </w:tc>
        <w:tc>
          <w:tcPr>
            <w:tcW w:w="1440" w:type="dxa"/>
            <w:tcBorders>
              <w:top w:val="nil"/>
              <w:left w:val="nil"/>
              <w:bottom w:val="single" w:sz="8" w:space="0" w:color="auto"/>
              <w:right w:val="single" w:sz="8" w:space="0" w:color="auto"/>
            </w:tcBorders>
            <w:noWrap/>
            <w:vAlign w:val="center"/>
            <w:hideMark/>
          </w:tcPr>
          <w:p w14:paraId="1B40D8FB" w14:textId="0107BE2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3</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091</w:t>
            </w:r>
          </w:p>
        </w:tc>
      </w:tr>
      <w:tr w:rsidR="00CC3783" w:rsidRPr="00A70C02" w14:paraId="1F1E88EA"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5C7FDDC"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Performance Management</w:t>
            </w:r>
          </w:p>
        </w:tc>
        <w:tc>
          <w:tcPr>
            <w:tcW w:w="1440" w:type="dxa"/>
            <w:tcBorders>
              <w:top w:val="nil"/>
              <w:left w:val="nil"/>
              <w:bottom w:val="single" w:sz="8" w:space="0" w:color="auto"/>
              <w:right w:val="single" w:sz="8" w:space="0" w:color="auto"/>
            </w:tcBorders>
            <w:noWrap/>
            <w:vAlign w:val="center"/>
            <w:hideMark/>
          </w:tcPr>
          <w:p w14:paraId="4462D8A8"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10.5</w:t>
            </w:r>
          </w:p>
        </w:tc>
      </w:tr>
      <w:tr w:rsidR="00CC3783" w:rsidRPr="00A70C02" w14:paraId="04A2E935"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7177315A"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2024</w:t>
            </w:r>
          </w:p>
        </w:tc>
        <w:tc>
          <w:tcPr>
            <w:tcW w:w="1440" w:type="dxa"/>
            <w:tcBorders>
              <w:top w:val="nil"/>
              <w:left w:val="nil"/>
              <w:bottom w:val="single" w:sz="8" w:space="0" w:color="auto"/>
              <w:right w:val="single" w:sz="8" w:space="0" w:color="auto"/>
            </w:tcBorders>
            <w:noWrap/>
            <w:vAlign w:val="center"/>
            <w:hideMark/>
          </w:tcPr>
          <w:p w14:paraId="04AD3A51" w14:textId="21168090"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15</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927</w:t>
            </w:r>
          </w:p>
        </w:tc>
      </w:tr>
      <w:tr w:rsidR="00CC3783" w:rsidRPr="00A70C02" w14:paraId="0AE68100"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78D93712"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External Factors</w:t>
            </w:r>
          </w:p>
        </w:tc>
        <w:tc>
          <w:tcPr>
            <w:tcW w:w="1440" w:type="dxa"/>
            <w:tcBorders>
              <w:top w:val="nil"/>
              <w:left w:val="nil"/>
              <w:bottom w:val="single" w:sz="8" w:space="0" w:color="auto"/>
              <w:right w:val="single" w:sz="8" w:space="0" w:color="auto"/>
            </w:tcBorders>
            <w:noWrap/>
            <w:vAlign w:val="center"/>
            <w:hideMark/>
          </w:tcPr>
          <w:p w14:paraId="40229CCF" w14:textId="774ED619"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594.5</w:t>
            </w:r>
          </w:p>
        </w:tc>
      </w:tr>
      <w:tr w:rsidR="00CC3783" w:rsidRPr="00A70C02" w14:paraId="0099C7A1"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47EFA1A2"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Fixed Infrastructure</w:t>
            </w:r>
          </w:p>
        </w:tc>
        <w:tc>
          <w:tcPr>
            <w:tcW w:w="1440" w:type="dxa"/>
            <w:tcBorders>
              <w:top w:val="nil"/>
              <w:left w:val="nil"/>
              <w:bottom w:val="single" w:sz="8" w:space="0" w:color="auto"/>
              <w:right w:val="single" w:sz="8" w:space="0" w:color="auto"/>
            </w:tcBorders>
            <w:noWrap/>
            <w:vAlign w:val="center"/>
            <w:hideMark/>
          </w:tcPr>
          <w:p w14:paraId="4F18AC60" w14:textId="267874DB"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565.5</w:t>
            </w:r>
          </w:p>
        </w:tc>
      </w:tr>
      <w:tr w:rsidR="00CC3783" w:rsidRPr="00A70C02" w14:paraId="54A43307"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268C1C6B"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Fleet</w:t>
            </w:r>
          </w:p>
        </w:tc>
        <w:tc>
          <w:tcPr>
            <w:tcW w:w="1440" w:type="dxa"/>
            <w:tcBorders>
              <w:top w:val="nil"/>
              <w:left w:val="nil"/>
              <w:bottom w:val="single" w:sz="8" w:space="0" w:color="auto"/>
              <w:right w:val="single" w:sz="8" w:space="0" w:color="auto"/>
            </w:tcBorders>
            <w:noWrap/>
            <w:vAlign w:val="center"/>
            <w:hideMark/>
          </w:tcPr>
          <w:p w14:paraId="682AFFCC" w14:textId="7627C9DA"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7</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553</w:t>
            </w:r>
          </w:p>
        </w:tc>
      </w:tr>
      <w:tr w:rsidR="00CC3783" w:rsidRPr="00A70C02" w14:paraId="0A846CED"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3A4663B8"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Operating Plan</w:t>
            </w:r>
          </w:p>
        </w:tc>
        <w:tc>
          <w:tcPr>
            <w:tcW w:w="1440" w:type="dxa"/>
            <w:tcBorders>
              <w:top w:val="nil"/>
              <w:left w:val="nil"/>
              <w:bottom w:val="single" w:sz="8" w:space="0" w:color="auto"/>
              <w:right w:val="single" w:sz="8" w:space="0" w:color="auto"/>
            </w:tcBorders>
            <w:noWrap/>
            <w:vAlign w:val="center"/>
            <w:hideMark/>
          </w:tcPr>
          <w:p w14:paraId="396C4AF5" w14:textId="6F77974B"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A67E93">
              <w:rPr>
                <w:rFonts w:ascii="Calibri" w:eastAsia="Times New Roman" w:hAnsi="Calibri" w:cs="Calibri"/>
                <w:color w:val="000000"/>
                <w:lang w:eastAsia="en-GB"/>
              </w:rPr>
              <w:t>,</w:t>
            </w:r>
            <w:r w:rsidRPr="00A70C02">
              <w:rPr>
                <w:rFonts w:ascii="Calibri" w:eastAsia="Times New Roman" w:hAnsi="Calibri" w:cs="Calibri"/>
                <w:color w:val="000000"/>
                <w:lang w:eastAsia="en-GB"/>
              </w:rPr>
              <w:t>085.5</w:t>
            </w:r>
          </w:p>
        </w:tc>
      </w:tr>
      <w:tr w:rsidR="00CC3783" w:rsidRPr="00A70C02" w14:paraId="47F779CD"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1553845C"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People</w:t>
            </w:r>
          </w:p>
        </w:tc>
        <w:tc>
          <w:tcPr>
            <w:tcW w:w="1440" w:type="dxa"/>
            <w:tcBorders>
              <w:top w:val="nil"/>
              <w:left w:val="nil"/>
              <w:bottom w:val="single" w:sz="8" w:space="0" w:color="auto"/>
              <w:right w:val="single" w:sz="8" w:space="0" w:color="auto"/>
            </w:tcBorders>
            <w:noWrap/>
            <w:vAlign w:val="center"/>
            <w:hideMark/>
          </w:tcPr>
          <w:p w14:paraId="4009831B" w14:textId="4E197EDA"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122</w:t>
            </w:r>
          </w:p>
        </w:tc>
      </w:tr>
      <w:tr w:rsidR="00CC3783" w:rsidRPr="00A70C02" w14:paraId="1EE27337"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7C0882E3"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Performance Management</w:t>
            </w:r>
          </w:p>
        </w:tc>
        <w:tc>
          <w:tcPr>
            <w:tcW w:w="1440" w:type="dxa"/>
            <w:tcBorders>
              <w:top w:val="nil"/>
              <w:left w:val="nil"/>
              <w:bottom w:val="single" w:sz="8" w:space="0" w:color="auto"/>
              <w:right w:val="single" w:sz="8" w:space="0" w:color="auto"/>
            </w:tcBorders>
            <w:noWrap/>
            <w:vAlign w:val="center"/>
            <w:hideMark/>
          </w:tcPr>
          <w:p w14:paraId="6D92415D"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6.5</w:t>
            </w:r>
          </w:p>
        </w:tc>
      </w:tr>
      <w:tr w:rsidR="00CC3783" w:rsidRPr="00A70C02" w14:paraId="7F0148D4"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706AC424"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2025</w:t>
            </w:r>
          </w:p>
        </w:tc>
        <w:tc>
          <w:tcPr>
            <w:tcW w:w="1440" w:type="dxa"/>
            <w:tcBorders>
              <w:top w:val="nil"/>
              <w:left w:val="nil"/>
              <w:bottom w:val="single" w:sz="8" w:space="0" w:color="auto"/>
              <w:right w:val="single" w:sz="8" w:space="0" w:color="auto"/>
            </w:tcBorders>
            <w:noWrap/>
            <w:vAlign w:val="center"/>
            <w:hideMark/>
          </w:tcPr>
          <w:p w14:paraId="4AF39E00" w14:textId="149B7346"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18</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947</w:t>
            </w:r>
          </w:p>
        </w:tc>
      </w:tr>
      <w:tr w:rsidR="00CC3783" w:rsidRPr="00A70C02" w14:paraId="0913CAF4"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F53DD41"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External Factors</w:t>
            </w:r>
          </w:p>
        </w:tc>
        <w:tc>
          <w:tcPr>
            <w:tcW w:w="1440" w:type="dxa"/>
            <w:tcBorders>
              <w:top w:val="nil"/>
              <w:left w:val="nil"/>
              <w:bottom w:val="single" w:sz="8" w:space="0" w:color="auto"/>
              <w:right w:val="single" w:sz="8" w:space="0" w:color="auto"/>
            </w:tcBorders>
            <w:noWrap/>
            <w:vAlign w:val="center"/>
            <w:hideMark/>
          </w:tcPr>
          <w:p w14:paraId="7F5C0AB5" w14:textId="2AA20CBD"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5</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008</w:t>
            </w:r>
          </w:p>
        </w:tc>
      </w:tr>
      <w:tr w:rsidR="00CC3783" w:rsidRPr="00A70C02" w14:paraId="46126F9C"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575D963B"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Fixed Infrastructure</w:t>
            </w:r>
          </w:p>
        </w:tc>
        <w:tc>
          <w:tcPr>
            <w:tcW w:w="1440" w:type="dxa"/>
            <w:tcBorders>
              <w:top w:val="nil"/>
              <w:left w:val="nil"/>
              <w:bottom w:val="single" w:sz="8" w:space="0" w:color="auto"/>
              <w:right w:val="single" w:sz="8" w:space="0" w:color="auto"/>
            </w:tcBorders>
            <w:noWrap/>
            <w:vAlign w:val="center"/>
            <w:hideMark/>
          </w:tcPr>
          <w:p w14:paraId="3C5939FD" w14:textId="25CF6D01"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806.5</w:t>
            </w:r>
          </w:p>
        </w:tc>
      </w:tr>
      <w:tr w:rsidR="00CC3783" w:rsidRPr="00A70C02" w14:paraId="16C15E9E"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4C507F33"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Fleet</w:t>
            </w:r>
          </w:p>
        </w:tc>
        <w:tc>
          <w:tcPr>
            <w:tcW w:w="1440" w:type="dxa"/>
            <w:tcBorders>
              <w:top w:val="nil"/>
              <w:left w:val="nil"/>
              <w:bottom w:val="single" w:sz="8" w:space="0" w:color="auto"/>
              <w:right w:val="single" w:sz="8" w:space="0" w:color="auto"/>
            </w:tcBorders>
            <w:noWrap/>
            <w:vAlign w:val="center"/>
            <w:hideMark/>
          </w:tcPr>
          <w:p w14:paraId="472CA4F6" w14:textId="219577A3"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7</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306.5</w:t>
            </w:r>
          </w:p>
        </w:tc>
      </w:tr>
      <w:tr w:rsidR="00CC3783" w:rsidRPr="00A70C02" w14:paraId="19994028"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1357806F"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Operating Plan</w:t>
            </w:r>
          </w:p>
        </w:tc>
        <w:tc>
          <w:tcPr>
            <w:tcW w:w="1440" w:type="dxa"/>
            <w:tcBorders>
              <w:top w:val="nil"/>
              <w:left w:val="nil"/>
              <w:bottom w:val="single" w:sz="8" w:space="0" w:color="auto"/>
              <w:right w:val="single" w:sz="8" w:space="0" w:color="auto"/>
            </w:tcBorders>
            <w:noWrap/>
            <w:vAlign w:val="center"/>
            <w:hideMark/>
          </w:tcPr>
          <w:p w14:paraId="1EE6DC2C" w14:textId="7E1B6B7F"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1</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586.5</w:t>
            </w:r>
          </w:p>
        </w:tc>
      </w:tr>
      <w:tr w:rsidR="00CC3783" w:rsidRPr="00A70C02" w14:paraId="4655D86D"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273EEC8A"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People</w:t>
            </w:r>
          </w:p>
        </w:tc>
        <w:tc>
          <w:tcPr>
            <w:tcW w:w="1440" w:type="dxa"/>
            <w:tcBorders>
              <w:top w:val="nil"/>
              <w:left w:val="nil"/>
              <w:bottom w:val="single" w:sz="8" w:space="0" w:color="auto"/>
              <w:right w:val="single" w:sz="8" w:space="0" w:color="auto"/>
            </w:tcBorders>
            <w:noWrap/>
            <w:vAlign w:val="center"/>
            <w:hideMark/>
          </w:tcPr>
          <w:p w14:paraId="340531D7" w14:textId="7CF7EBAE"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w:t>
            </w:r>
            <w:r w:rsidR="00084688">
              <w:rPr>
                <w:rFonts w:ascii="Calibri" w:eastAsia="Times New Roman" w:hAnsi="Calibri" w:cs="Calibri"/>
                <w:color w:val="000000"/>
                <w:lang w:eastAsia="en-GB"/>
              </w:rPr>
              <w:t>,</w:t>
            </w:r>
            <w:r w:rsidRPr="00A70C02">
              <w:rPr>
                <w:rFonts w:ascii="Calibri" w:eastAsia="Times New Roman" w:hAnsi="Calibri" w:cs="Calibri"/>
                <w:color w:val="000000"/>
                <w:lang w:eastAsia="en-GB"/>
              </w:rPr>
              <w:t>215</w:t>
            </w:r>
          </w:p>
        </w:tc>
      </w:tr>
      <w:tr w:rsidR="00CC3783" w:rsidRPr="00A70C02" w14:paraId="468E64B0" w14:textId="77777777" w:rsidTr="00CC3783">
        <w:trPr>
          <w:trHeight w:val="300"/>
        </w:trPr>
        <w:tc>
          <w:tcPr>
            <w:tcW w:w="3420" w:type="dxa"/>
            <w:tcBorders>
              <w:top w:val="nil"/>
              <w:left w:val="single" w:sz="8" w:space="0" w:color="auto"/>
              <w:bottom w:val="single" w:sz="8" w:space="0" w:color="auto"/>
              <w:right w:val="single" w:sz="8" w:space="0" w:color="auto"/>
            </w:tcBorders>
            <w:noWrap/>
            <w:vAlign w:val="center"/>
            <w:hideMark/>
          </w:tcPr>
          <w:p w14:paraId="665CA6D6" w14:textId="77777777" w:rsidR="00CC3783" w:rsidRPr="00A70C02" w:rsidRDefault="00CC3783" w:rsidP="00CC3783">
            <w:pPr>
              <w:spacing w:after="0" w:line="240" w:lineRule="auto"/>
              <w:rPr>
                <w:rFonts w:ascii="Calibri" w:eastAsia="Times New Roman" w:hAnsi="Calibri" w:cs="Calibri"/>
                <w:color w:val="000000"/>
                <w:lang w:eastAsia="en-GB"/>
              </w:rPr>
            </w:pPr>
            <w:r w:rsidRPr="00A70C02">
              <w:rPr>
                <w:rFonts w:ascii="Calibri" w:eastAsia="Times New Roman" w:hAnsi="Calibri" w:cs="Calibri"/>
                <w:color w:val="000000"/>
                <w:lang w:eastAsia="en-GB"/>
              </w:rPr>
              <w:t>Performance Management</w:t>
            </w:r>
          </w:p>
        </w:tc>
        <w:tc>
          <w:tcPr>
            <w:tcW w:w="1440" w:type="dxa"/>
            <w:tcBorders>
              <w:top w:val="nil"/>
              <w:left w:val="nil"/>
              <w:bottom w:val="single" w:sz="8" w:space="0" w:color="auto"/>
              <w:right w:val="single" w:sz="8" w:space="0" w:color="auto"/>
            </w:tcBorders>
            <w:noWrap/>
            <w:vAlign w:val="center"/>
            <w:hideMark/>
          </w:tcPr>
          <w:p w14:paraId="0B794666" w14:textId="77777777" w:rsidR="00CC3783" w:rsidRPr="00A70C02" w:rsidRDefault="00CC3783" w:rsidP="00CC3783">
            <w:pPr>
              <w:spacing w:after="0" w:line="240" w:lineRule="auto"/>
              <w:jc w:val="right"/>
              <w:rPr>
                <w:rFonts w:ascii="Calibri" w:eastAsia="Times New Roman" w:hAnsi="Calibri" w:cs="Calibri"/>
                <w:color w:val="000000"/>
                <w:lang w:eastAsia="en-GB"/>
              </w:rPr>
            </w:pPr>
            <w:r w:rsidRPr="00A70C02">
              <w:rPr>
                <w:rFonts w:ascii="Calibri" w:eastAsia="Times New Roman" w:hAnsi="Calibri" w:cs="Calibri"/>
                <w:color w:val="000000"/>
                <w:lang w:eastAsia="en-GB"/>
              </w:rPr>
              <w:t>24.5</w:t>
            </w:r>
          </w:p>
        </w:tc>
      </w:tr>
    </w:tbl>
    <w:p w14:paraId="01157D50" w14:textId="77777777" w:rsidR="00D1410E" w:rsidRPr="00A70C02" w:rsidRDefault="00D1410E" w:rsidP="00D1410E">
      <w:pPr>
        <w:spacing w:after="0" w:line="240" w:lineRule="auto"/>
      </w:pPr>
    </w:p>
    <w:p w14:paraId="4F46D8BA" w14:textId="77777777" w:rsidR="009610DC" w:rsidRDefault="009610DC" w:rsidP="00BE2CE2">
      <w:pPr>
        <w:spacing w:after="0" w:line="240" w:lineRule="auto"/>
        <w:rPr>
          <w:u w:val="single"/>
        </w:rPr>
      </w:pPr>
    </w:p>
    <w:p w14:paraId="3B6678EF" w14:textId="77777777" w:rsidR="009610DC" w:rsidRDefault="009610DC" w:rsidP="00BE2CE2">
      <w:pPr>
        <w:spacing w:after="0" w:line="240" w:lineRule="auto"/>
        <w:rPr>
          <w:u w:val="single"/>
        </w:rPr>
      </w:pPr>
    </w:p>
    <w:p w14:paraId="06364FC8" w14:textId="77777777" w:rsidR="009610DC" w:rsidRDefault="009610DC" w:rsidP="00BE2CE2">
      <w:pPr>
        <w:spacing w:after="0" w:line="240" w:lineRule="auto"/>
        <w:rPr>
          <w:u w:val="single"/>
        </w:rPr>
      </w:pPr>
    </w:p>
    <w:p w14:paraId="36AA48B3" w14:textId="77777777" w:rsidR="009610DC" w:rsidRDefault="009610DC" w:rsidP="00BE2CE2">
      <w:pPr>
        <w:spacing w:after="0" w:line="240" w:lineRule="auto"/>
        <w:rPr>
          <w:u w:val="single"/>
        </w:rPr>
      </w:pPr>
    </w:p>
    <w:p w14:paraId="36D79BE0" w14:textId="77777777" w:rsidR="009610DC" w:rsidRDefault="009610DC" w:rsidP="00BE2CE2">
      <w:pPr>
        <w:spacing w:after="0" w:line="240" w:lineRule="auto"/>
        <w:rPr>
          <w:u w:val="single"/>
        </w:rPr>
      </w:pPr>
    </w:p>
    <w:p w14:paraId="3C641181" w14:textId="77777777" w:rsidR="009610DC" w:rsidRDefault="009610DC" w:rsidP="00BE2CE2">
      <w:pPr>
        <w:spacing w:after="0" w:line="240" w:lineRule="auto"/>
        <w:rPr>
          <w:u w:val="single"/>
        </w:rPr>
      </w:pPr>
    </w:p>
    <w:p w14:paraId="3543EBA7" w14:textId="77777777" w:rsidR="009610DC" w:rsidRDefault="009610DC" w:rsidP="00BE2CE2">
      <w:pPr>
        <w:spacing w:after="0" w:line="240" w:lineRule="auto"/>
        <w:rPr>
          <w:u w:val="single"/>
        </w:rPr>
      </w:pPr>
    </w:p>
    <w:p w14:paraId="090DF1D2" w14:textId="66005183" w:rsidR="00BE2CE2" w:rsidRPr="00BE2CE2" w:rsidRDefault="00BE2CE2" w:rsidP="00BE2CE2">
      <w:pPr>
        <w:spacing w:after="0" w:line="240" w:lineRule="auto"/>
        <w:rPr>
          <w:u w:val="single"/>
        </w:rPr>
      </w:pPr>
      <w:r w:rsidRPr="00BE2CE2">
        <w:rPr>
          <w:u w:val="single"/>
        </w:rPr>
        <w:lastRenderedPageBreak/>
        <w:t>Question 4</w:t>
      </w:r>
    </w:p>
    <w:p w14:paraId="40D58D96" w14:textId="77777777" w:rsidR="00BE2CE2" w:rsidRPr="00BE2CE2" w:rsidRDefault="00BE2CE2" w:rsidP="00BE2CE2">
      <w:pPr>
        <w:spacing w:after="0" w:line="240" w:lineRule="auto"/>
        <w:rPr>
          <w:u w:val="single"/>
        </w:rPr>
      </w:pPr>
    </w:p>
    <w:p w14:paraId="1B973CE2" w14:textId="4DDA1976" w:rsidR="00BE2CE2" w:rsidRPr="00BE2CE2" w:rsidRDefault="00BE2CE2" w:rsidP="00BE2CE2">
      <w:pPr>
        <w:spacing w:after="0" w:line="240" w:lineRule="auto"/>
      </w:pPr>
      <w:r w:rsidRPr="00BE2CE2">
        <w:t xml:space="preserve">We </w:t>
      </w:r>
      <w:r w:rsidR="00EC5780">
        <w:t>are unable</w:t>
      </w:r>
      <w:r w:rsidRPr="00BE2CE2">
        <w:t xml:space="preserve"> break </w:t>
      </w:r>
      <w:r w:rsidR="00EC5780">
        <w:t>this</w:t>
      </w:r>
      <w:r w:rsidRPr="00BE2CE2">
        <w:t xml:space="preserve"> down to route as we haven’t implemented this into the system until recently. </w:t>
      </w:r>
    </w:p>
    <w:p w14:paraId="140758A3" w14:textId="77777777" w:rsidR="00BE2CE2" w:rsidRPr="00BE2CE2" w:rsidRDefault="00BE2CE2" w:rsidP="00BE2CE2">
      <w:pPr>
        <w:spacing w:after="0" w:line="240" w:lineRule="auto"/>
      </w:pPr>
    </w:p>
    <w:p w14:paraId="78E010F8" w14:textId="77777777" w:rsidR="00BE2CE2" w:rsidRPr="00BE2CE2" w:rsidRDefault="00BE2CE2" w:rsidP="00BE2CE2">
      <w:pPr>
        <w:spacing w:after="0" w:line="240" w:lineRule="auto"/>
      </w:pPr>
      <w:r w:rsidRPr="00BE2CE2">
        <w:t>20/21 – 50,275</w:t>
      </w:r>
    </w:p>
    <w:p w14:paraId="46F7FD4B" w14:textId="77777777" w:rsidR="00BE2CE2" w:rsidRPr="00BE2CE2" w:rsidRDefault="00BE2CE2" w:rsidP="00BE2CE2">
      <w:pPr>
        <w:spacing w:after="0" w:line="240" w:lineRule="auto"/>
      </w:pPr>
      <w:r w:rsidRPr="00BE2CE2">
        <w:t>21/22 – 542,611</w:t>
      </w:r>
    </w:p>
    <w:p w14:paraId="32BD022F" w14:textId="77777777" w:rsidR="00BE2CE2" w:rsidRPr="00BE2CE2" w:rsidRDefault="00BE2CE2" w:rsidP="00BE2CE2">
      <w:pPr>
        <w:spacing w:after="0" w:line="240" w:lineRule="auto"/>
      </w:pPr>
      <w:r w:rsidRPr="00BE2CE2">
        <w:t>22/23 – 1,405,638</w:t>
      </w:r>
    </w:p>
    <w:p w14:paraId="18099A0C" w14:textId="77777777" w:rsidR="00BE2CE2" w:rsidRPr="00BE2CE2" w:rsidRDefault="00BE2CE2" w:rsidP="00BE2CE2">
      <w:pPr>
        <w:spacing w:after="0" w:line="240" w:lineRule="auto"/>
      </w:pPr>
      <w:r w:rsidRPr="00BE2CE2">
        <w:t>23/24 – 1,953,704</w:t>
      </w:r>
    </w:p>
    <w:p w14:paraId="43677116" w14:textId="77777777" w:rsidR="00BE2CE2" w:rsidRPr="00BE2CE2" w:rsidRDefault="00BE2CE2" w:rsidP="00BE2CE2">
      <w:pPr>
        <w:spacing w:after="0" w:line="240" w:lineRule="auto"/>
      </w:pPr>
      <w:r w:rsidRPr="00BE2CE2">
        <w:t>24/25 – 1,733,033</w:t>
      </w:r>
    </w:p>
    <w:p w14:paraId="726A31B4" w14:textId="1924CBFD" w:rsidR="00BE2CE2" w:rsidRPr="00BE2CE2" w:rsidRDefault="00BE2CE2" w:rsidP="00BE2CE2">
      <w:pPr>
        <w:spacing w:after="0" w:line="240" w:lineRule="auto"/>
      </w:pPr>
      <w:r w:rsidRPr="00BE2CE2">
        <w:t>25/26 – 1,060,391 (</w:t>
      </w:r>
      <w:r w:rsidR="002D3809">
        <w:t>Rail p</w:t>
      </w:r>
      <w:r w:rsidR="00C27306">
        <w:t>er</w:t>
      </w:r>
      <w:r w:rsidR="002D3809">
        <w:t>io</w:t>
      </w:r>
      <w:r w:rsidRPr="00BE2CE2">
        <w:t>ds</w:t>
      </w:r>
      <w:r w:rsidR="002D3809">
        <w:t xml:space="preserve"> </w:t>
      </w:r>
      <w:r w:rsidRPr="00BE2CE2">
        <w:t>1-10)</w:t>
      </w:r>
    </w:p>
    <w:p w14:paraId="70F5CC80" w14:textId="77777777" w:rsidR="00BE2CE2" w:rsidRPr="005F0538" w:rsidRDefault="00BE2CE2" w:rsidP="00D1410E">
      <w:pPr>
        <w:spacing w:after="0" w:line="240" w:lineRule="auto"/>
      </w:pPr>
    </w:p>
    <w:p w14:paraId="41C07C38" w14:textId="4F503BB0" w:rsidR="005F0538" w:rsidRDefault="005F0538" w:rsidP="156E0B0A">
      <w:pPr>
        <w:spacing w:after="0" w:line="240" w:lineRule="auto"/>
      </w:pPr>
      <w:r w:rsidRPr="005F0538">
        <w:t xml:space="preserve">You can find </w:t>
      </w:r>
      <w:r w:rsidR="00BE2CE2">
        <w:t xml:space="preserve">further </w:t>
      </w:r>
      <w:r w:rsidRPr="005F0538">
        <w:t>delay repay information here</w:t>
      </w:r>
      <w:r w:rsidR="00B776AA">
        <w:t xml:space="preserve">: </w:t>
      </w:r>
      <w:hyperlink r:id="rId10" w:history="1">
        <w:r w:rsidRPr="005F0538">
          <w:rPr>
            <w:rStyle w:val="Hyperlink"/>
            <w:b/>
            <w:bCs/>
          </w:rPr>
          <w:t>Delay Repay | TfW</w:t>
        </w:r>
      </w:hyperlink>
    </w:p>
    <w:p w14:paraId="135E67FF" w14:textId="77777777" w:rsidR="00BE2CE2" w:rsidRDefault="00BE2CE2" w:rsidP="156E0B0A">
      <w:pPr>
        <w:spacing w:after="0" w:line="240" w:lineRule="auto"/>
      </w:pPr>
    </w:p>
    <w:p w14:paraId="4EC6050E" w14:textId="56E22086" w:rsidR="00BE2CE2" w:rsidRPr="001B4E7A" w:rsidRDefault="00BE2CE2" w:rsidP="156E0B0A">
      <w:pPr>
        <w:spacing w:after="0" w:line="240" w:lineRule="auto"/>
        <w:rPr>
          <w:b/>
          <w:bCs/>
          <w:u w:val="single"/>
        </w:rPr>
      </w:pPr>
      <w:r w:rsidRPr="001B4E7A">
        <w:rPr>
          <w:u w:val="single"/>
        </w:rPr>
        <w:t xml:space="preserve">Question </w:t>
      </w:r>
      <w:r w:rsidR="001B4E7A" w:rsidRPr="001B4E7A">
        <w:rPr>
          <w:u w:val="single"/>
        </w:rPr>
        <w:t>5</w:t>
      </w:r>
    </w:p>
    <w:p w14:paraId="4D4F7D95" w14:textId="1C87A371" w:rsidR="00C61B18" w:rsidRPr="00C61B18" w:rsidRDefault="00C61B18" w:rsidP="00CE7D32">
      <w:pPr>
        <w:spacing w:after="0" w:line="240" w:lineRule="auto"/>
        <w:rPr>
          <w:b/>
          <w:bCs/>
        </w:rPr>
      </w:pPr>
      <w:r w:rsidRPr="00C61B18">
        <w:rPr>
          <w:b/>
          <w:bCs/>
        </w:rPr>
        <w:t xml:space="preserve"> </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0"/>
        <w:gridCol w:w="960"/>
        <w:gridCol w:w="960"/>
        <w:gridCol w:w="960"/>
      </w:tblGrid>
      <w:tr w:rsidR="00C61B18" w:rsidRPr="00C61B18" w14:paraId="5C62CC16" w14:textId="77777777" w:rsidTr="00860A37">
        <w:trPr>
          <w:trHeight w:val="210"/>
        </w:trPr>
        <w:tc>
          <w:tcPr>
            <w:tcW w:w="1520" w:type="dxa"/>
            <w:noWrap/>
            <w:tcMar>
              <w:top w:w="15" w:type="dxa"/>
              <w:left w:w="15" w:type="dxa"/>
              <w:bottom w:w="0" w:type="dxa"/>
              <w:right w:w="15" w:type="dxa"/>
            </w:tcMar>
            <w:vAlign w:val="bottom"/>
            <w:hideMark/>
          </w:tcPr>
          <w:p w14:paraId="24F30199" w14:textId="77777777" w:rsidR="00C61B18" w:rsidRPr="00C61B18" w:rsidRDefault="00C61B18" w:rsidP="00C61B18">
            <w:pPr>
              <w:spacing w:after="0" w:line="240" w:lineRule="auto"/>
            </w:pPr>
          </w:p>
        </w:tc>
        <w:tc>
          <w:tcPr>
            <w:tcW w:w="960" w:type="dxa"/>
            <w:noWrap/>
            <w:tcMar>
              <w:top w:w="15" w:type="dxa"/>
              <w:left w:w="15" w:type="dxa"/>
              <w:bottom w:w="0" w:type="dxa"/>
              <w:right w:w="15" w:type="dxa"/>
            </w:tcMar>
            <w:vAlign w:val="bottom"/>
            <w:hideMark/>
          </w:tcPr>
          <w:p w14:paraId="199104BB" w14:textId="77777777" w:rsidR="00C61B18" w:rsidRPr="00C61B18" w:rsidRDefault="00C61B18" w:rsidP="00C61B18">
            <w:pPr>
              <w:spacing w:after="0" w:line="240" w:lineRule="auto"/>
            </w:pPr>
            <w:r w:rsidRPr="00C61B18">
              <w:t>23/24</w:t>
            </w:r>
          </w:p>
        </w:tc>
        <w:tc>
          <w:tcPr>
            <w:tcW w:w="960" w:type="dxa"/>
            <w:noWrap/>
            <w:tcMar>
              <w:top w:w="15" w:type="dxa"/>
              <w:left w:w="15" w:type="dxa"/>
              <w:bottom w:w="0" w:type="dxa"/>
              <w:right w:w="15" w:type="dxa"/>
            </w:tcMar>
            <w:vAlign w:val="bottom"/>
            <w:hideMark/>
          </w:tcPr>
          <w:p w14:paraId="6B6F2B9C" w14:textId="77777777" w:rsidR="00C61B18" w:rsidRPr="00C61B18" w:rsidRDefault="00C61B18" w:rsidP="00C61B18">
            <w:pPr>
              <w:spacing w:after="0" w:line="240" w:lineRule="auto"/>
            </w:pPr>
            <w:r w:rsidRPr="00C61B18">
              <w:t>24/25</w:t>
            </w:r>
          </w:p>
        </w:tc>
        <w:tc>
          <w:tcPr>
            <w:tcW w:w="960" w:type="dxa"/>
            <w:noWrap/>
            <w:tcMar>
              <w:top w:w="15" w:type="dxa"/>
              <w:left w:w="15" w:type="dxa"/>
              <w:bottom w:w="0" w:type="dxa"/>
              <w:right w:w="15" w:type="dxa"/>
            </w:tcMar>
            <w:vAlign w:val="bottom"/>
            <w:hideMark/>
          </w:tcPr>
          <w:p w14:paraId="22E8E9EC" w14:textId="77777777" w:rsidR="00C61B18" w:rsidRPr="00C61B18" w:rsidRDefault="00C61B18" w:rsidP="00C61B18">
            <w:pPr>
              <w:spacing w:after="0" w:line="240" w:lineRule="auto"/>
            </w:pPr>
            <w:r w:rsidRPr="00C61B18">
              <w:t>25/26*</w:t>
            </w:r>
          </w:p>
        </w:tc>
      </w:tr>
      <w:tr w:rsidR="00C61B18" w:rsidRPr="00C61B18" w14:paraId="05E69DAE" w14:textId="77777777" w:rsidTr="00860A37">
        <w:trPr>
          <w:trHeight w:val="210"/>
        </w:trPr>
        <w:tc>
          <w:tcPr>
            <w:tcW w:w="1520" w:type="dxa"/>
            <w:noWrap/>
            <w:tcMar>
              <w:top w:w="15" w:type="dxa"/>
              <w:left w:w="15" w:type="dxa"/>
              <w:bottom w:w="0" w:type="dxa"/>
              <w:right w:w="15" w:type="dxa"/>
            </w:tcMar>
            <w:vAlign w:val="bottom"/>
            <w:hideMark/>
          </w:tcPr>
          <w:p w14:paraId="553C6186" w14:textId="77777777" w:rsidR="00C61B18" w:rsidRPr="00C61B18" w:rsidRDefault="00C61B18" w:rsidP="00C61B18">
            <w:pPr>
              <w:spacing w:after="0" w:line="240" w:lineRule="auto"/>
            </w:pPr>
            <w:r w:rsidRPr="00C61B18">
              <w:t>Claims received</w:t>
            </w:r>
          </w:p>
        </w:tc>
        <w:tc>
          <w:tcPr>
            <w:tcW w:w="960" w:type="dxa"/>
            <w:noWrap/>
            <w:tcMar>
              <w:top w:w="15" w:type="dxa"/>
              <w:left w:w="15" w:type="dxa"/>
              <w:bottom w:w="0" w:type="dxa"/>
              <w:right w:w="15" w:type="dxa"/>
            </w:tcMar>
            <w:vAlign w:val="bottom"/>
            <w:hideMark/>
          </w:tcPr>
          <w:p w14:paraId="0876435A" w14:textId="75151179" w:rsidR="00C61B18" w:rsidRPr="00C61B18" w:rsidRDefault="00C61B18" w:rsidP="00C61B18">
            <w:pPr>
              <w:spacing w:after="0" w:line="240" w:lineRule="auto"/>
            </w:pPr>
            <w:r w:rsidRPr="00C61B18">
              <w:t>167</w:t>
            </w:r>
            <w:r w:rsidR="00A0555F">
              <w:t>,</w:t>
            </w:r>
            <w:r w:rsidRPr="00C61B18">
              <w:t>702</w:t>
            </w:r>
          </w:p>
        </w:tc>
        <w:tc>
          <w:tcPr>
            <w:tcW w:w="960" w:type="dxa"/>
            <w:noWrap/>
            <w:tcMar>
              <w:top w:w="15" w:type="dxa"/>
              <w:left w:w="15" w:type="dxa"/>
              <w:bottom w:w="0" w:type="dxa"/>
              <w:right w:w="15" w:type="dxa"/>
            </w:tcMar>
            <w:vAlign w:val="bottom"/>
            <w:hideMark/>
          </w:tcPr>
          <w:p w14:paraId="3C0275DD" w14:textId="3E96E8DE" w:rsidR="00C61B18" w:rsidRPr="00C61B18" w:rsidRDefault="00C61B18" w:rsidP="00C61B18">
            <w:pPr>
              <w:spacing w:after="0" w:line="240" w:lineRule="auto"/>
            </w:pPr>
            <w:r w:rsidRPr="00C61B18">
              <w:t>159</w:t>
            </w:r>
            <w:r w:rsidR="00A0555F">
              <w:t>,</w:t>
            </w:r>
            <w:r w:rsidRPr="00C61B18">
              <w:t>559</w:t>
            </w:r>
          </w:p>
        </w:tc>
        <w:tc>
          <w:tcPr>
            <w:tcW w:w="960" w:type="dxa"/>
            <w:noWrap/>
            <w:tcMar>
              <w:top w:w="15" w:type="dxa"/>
              <w:left w:w="15" w:type="dxa"/>
              <w:bottom w:w="0" w:type="dxa"/>
              <w:right w:w="15" w:type="dxa"/>
            </w:tcMar>
            <w:vAlign w:val="bottom"/>
            <w:hideMark/>
          </w:tcPr>
          <w:p w14:paraId="45707288" w14:textId="765E1A81" w:rsidR="00C61B18" w:rsidRPr="00C61B18" w:rsidRDefault="00C61B18" w:rsidP="00C61B18">
            <w:pPr>
              <w:spacing w:after="0" w:line="240" w:lineRule="auto"/>
            </w:pPr>
            <w:r w:rsidRPr="00C61B18">
              <w:t>144</w:t>
            </w:r>
            <w:r w:rsidR="00A0555F">
              <w:t>,</w:t>
            </w:r>
            <w:r w:rsidRPr="00C61B18">
              <w:t>195</w:t>
            </w:r>
          </w:p>
        </w:tc>
      </w:tr>
      <w:tr w:rsidR="00C61B18" w:rsidRPr="00C61B18" w14:paraId="74B6CEED" w14:textId="77777777" w:rsidTr="00860A37">
        <w:trPr>
          <w:trHeight w:val="210"/>
        </w:trPr>
        <w:tc>
          <w:tcPr>
            <w:tcW w:w="1520" w:type="dxa"/>
            <w:noWrap/>
            <w:tcMar>
              <w:top w:w="15" w:type="dxa"/>
              <w:left w:w="15" w:type="dxa"/>
              <w:bottom w:w="0" w:type="dxa"/>
              <w:right w:w="15" w:type="dxa"/>
            </w:tcMar>
            <w:vAlign w:val="bottom"/>
            <w:hideMark/>
          </w:tcPr>
          <w:p w14:paraId="7B3BE09E" w14:textId="77777777" w:rsidR="00C61B18" w:rsidRPr="00C61B18" w:rsidRDefault="00C61B18" w:rsidP="00C61B18">
            <w:pPr>
              <w:spacing w:after="0" w:line="240" w:lineRule="auto"/>
            </w:pPr>
            <w:r w:rsidRPr="00C61B18">
              <w:t>Claims paid</w:t>
            </w:r>
          </w:p>
        </w:tc>
        <w:tc>
          <w:tcPr>
            <w:tcW w:w="960" w:type="dxa"/>
            <w:noWrap/>
            <w:tcMar>
              <w:top w:w="15" w:type="dxa"/>
              <w:left w:w="15" w:type="dxa"/>
              <w:bottom w:w="0" w:type="dxa"/>
              <w:right w:w="15" w:type="dxa"/>
            </w:tcMar>
            <w:vAlign w:val="bottom"/>
            <w:hideMark/>
          </w:tcPr>
          <w:p w14:paraId="43250762" w14:textId="444C4F9C" w:rsidR="00C61B18" w:rsidRPr="00C61B18" w:rsidRDefault="00C61B18" w:rsidP="00C61B18">
            <w:pPr>
              <w:spacing w:after="0" w:line="240" w:lineRule="auto"/>
            </w:pPr>
            <w:r w:rsidRPr="00C61B18">
              <w:t>136</w:t>
            </w:r>
            <w:r w:rsidR="00A0555F">
              <w:t>,</w:t>
            </w:r>
            <w:r w:rsidRPr="00C61B18">
              <w:t>736</w:t>
            </w:r>
          </w:p>
        </w:tc>
        <w:tc>
          <w:tcPr>
            <w:tcW w:w="960" w:type="dxa"/>
            <w:noWrap/>
            <w:tcMar>
              <w:top w:w="15" w:type="dxa"/>
              <w:left w:w="15" w:type="dxa"/>
              <w:bottom w:w="0" w:type="dxa"/>
              <w:right w:w="15" w:type="dxa"/>
            </w:tcMar>
            <w:vAlign w:val="bottom"/>
            <w:hideMark/>
          </w:tcPr>
          <w:p w14:paraId="7E990959" w14:textId="3E705448" w:rsidR="00C61B18" w:rsidRPr="00C61B18" w:rsidRDefault="00C61B18" w:rsidP="00C61B18">
            <w:pPr>
              <w:spacing w:after="0" w:line="240" w:lineRule="auto"/>
            </w:pPr>
            <w:r w:rsidRPr="00C61B18">
              <w:t>119</w:t>
            </w:r>
            <w:r w:rsidR="00A0555F">
              <w:t>,</w:t>
            </w:r>
            <w:r w:rsidRPr="00C61B18">
              <w:t>905</w:t>
            </w:r>
          </w:p>
        </w:tc>
        <w:tc>
          <w:tcPr>
            <w:tcW w:w="960" w:type="dxa"/>
            <w:noWrap/>
            <w:tcMar>
              <w:top w:w="15" w:type="dxa"/>
              <w:left w:w="15" w:type="dxa"/>
              <w:bottom w:w="0" w:type="dxa"/>
              <w:right w:w="15" w:type="dxa"/>
            </w:tcMar>
            <w:vAlign w:val="bottom"/>
            <w:hideMark/>
          </w:tcPr>
          <w:p w14:paraId="500897DD" w14:textId="132BCA97" w:rsidR="00C61B18" w:rsidRPr="00C61B18" w:rsidRDefault="00C61B18" w:rsidP="00C61B18">
            <w:pPr>
              <w:spacing w:after="0" w:line="240" w:lineRule="auto"/>
            </w:pPr>
            <w:r w:rsidRPr="00C61B18">
              <w:t>103</w:t>
            </w:r>
            <w:r w:rsidR="00A0555F">
              <w:t>,</w:t>
            </w:r>
            <w:r w:rsidRPr="00C61B18">
              <w:t>940</w:t>
            </w:r>
          </w:p>
        </w:tc>
      </w:tr>
    </w:tbl>
    <w:p w14:paraId="242D4B8B" w14:textId="18BA5B11" w:rsidR="00C61B18" w:rsidRPr="00C61B18" w:rsidRDefault="00C61B18" w:rsidP="00C61B18">
      <w:pPr>
        <w:spacing w:after="0" w:line="240" w:lineRule="auto"/>
        <w:rPr>
          <w:b/>
          <w:bCs/>
        </w:rPr>
      </w:pPr>
      <w:r w:rsidRPr="00C61B18">
        <w:br/>
      </w:r>
      <w:r w:rsidR="007C5BFB">
        <w:t>*</w:t>
      </w:r>
      <w:r w:rsidRPr="00C61B18">
        <w:t>The 25/26 year is year</w:t>
      </w:r>
      <w:r w:rsidR="00B776AA">
        <w:t>-</w:t>
      </w:r>
      <w:r w:rsidRPr="00C61B18">
        <w:t>to</w:t>
      </w:r>
      <w:r w:rsidR="00B776AA">
        <w:t>-d</w:t>
      </w:r>
      <w:r w:rsidRPr="00C61B18">
        <w:t xml:space="preserve">ate up to the end of </w:t>
      </w:r>
      <w:r w:rsidR="001C0BE0">
        <w:t xml:space="preserve">Rail </w:t>
      </w:r>
      <w:r w:rsidRPr="00C61B18">
        <w:t>P</w:t>
      </w:r>
      <w:r w:rsidR="001C0BE0">
        <w:t xml:space="preserve">eriod </w:t>
      </w:r>
      <w:r w:rsidRPr="00C61B18">
        <w:t>11.</w:t>
      </w:r>
      <w:r w:rsidRPr="00C61B18">
        <w:rPr>
          <w:b/>
          <w:bCs/>
        </w:rPr>
        <w:t> </w:t>
      </w:r>
    </w:p>
    <w:p w14:paraId="17B58DBA" w14:textId="2DF0D9E2" w:rsidR="001B734B" w:rsidRDefault="00AE26E6" w:rsidP="156E0B0A">
      <w:pPr>
        <w:spacing w:after="0" w:line="240" w:lineRule="auto"/>
        <w:rPr>
          <w:b/>
          <w:bCs/>
        </w:rPr>
      </w:pPr>
      <w:r w:rsidRPr="00860A37">
        <w:t>We are unable to access records any earlier than this point because our system provider changed.</w:t>
      </w:r>
    </w:p>
    <w:p w14:paraId="5F35D199" w14:textId="77777777" w:rsidR="001D05E3" w:rsidRDefault="001D05E3" w:rsidP="156E0B0A">
      <w:pPr>
        <w:spacing w:after="0" w:line="240" w:lineRule="auto"/>
        <w:rPr>
          <w:b/>
          <w:bCs/>
        </w:rPr>
      </w:pPr>
    </w:p>
    <w:p w14:paraId="314CE620" w14:textId="77777777" w:rsidR="00AE26E6" w:rsidRDefault="00AE26E6" w:rsidP="156E0B0A">
      <w:pPr>
        <w:spacing w:after="0" w:line="240" w:lineRule="auto"/>
        <w:rPr>
          <w:b/>
          <w:bCs/>
        </w:rPr>
      </w:pPr>
    </w:p>
    <w:p w14:paraId="6B8FF399" w14:textId="77777777" w:rsidR="00860A37" w:rsidRDefault="00860A37"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281E" w14:textId="77777777" w:rsidR="00114BCE" w:rsidRDefault="00114BCE" w:rsidP="0029704C">
      <w:pPr>
        <w:spacing w:after="0" w:line="240" w:lineRule="auto"/>
      </w:pPr>
      <w:r>
        <w:separator/>
      </w:r>
    </w:p>
  </w:endnote>
  <w:endnote w:type="continuationSeparator" w:id="0">
    <w:p w14:paraId="59DF9F2D" w14:textId="77777777" w:rsidR="00114BCE" w:rsidRDefault="00114BCE" w:rsidP="0029704C">
      <w:pPr>
        <w:spacing w:after="0" w:line="240" w:lineRule="auto"/>
      </w:pPr>
      <w:r>
        <w:continuationSeparator/>
      </w:r>
    </w:p>
  </w:endnote>
  <w:endnote w:type="continuationNotice" w:id="1">
    <w:p w14:paraId="22F2BB09" w14:textId="77777777" w:rsidR="00114BCE" w:rsidRDefault="00114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A598" w14:textId="77777777" w:rsidR="00114BCE" w:rsidRDefault="00114BCE" w:rsidP="0029704C">
      <w:pPr>
        <w:spacing w:after="0" w:line="240" w:lineRule="auto"/>
      </w:pPr>
      <w:r>
        <w:separator/>
      </w:r>
    </w:p>
  </w:footnote>
  <w:footnote w:type="continuationSeparator" w:id="0">
    <w:p w14:paraId="2D65B8AA" w14:textId="77777777" w:rsidR="00114BCE" w:rsidRDefault="00114BCE" w:rsidP="0029704C">
      <w:pPr>
        <w:spacing w:after="0" w:line="240" w:lineRule="auto"/>
      </w:pPr>
      <w:r>
        <w:continuationSeparator/>
      </w:r>
    </w:p>
  </w:footnote>
  <w:footnote w:type="continuationNotice" w:id="1">
    <w:p w14:paraId="2DC9C1BF" w14:textId="77777777" w:rsidR="00114BCE" w:rsidRDefault="00114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73A71"/>
    <w:multiLevelType w:val="multilevel"/>
    <w:tmpl w:val="98884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61718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10965"/>
    <w:rsid w:val="00016F91"/>
    <w:rsid w:val="000234D9"/>
    <w:rsid w:val="000274C1"/>
    <w:rsid w:val="000379D2"/>
    <w:rsid w:val="00050181"/>
    <w:rsid w:val="0005296A"/>
    <w:rsid w:val="00060001"/>
    <w:rsid w:val="00063657"/>
    <w:rsid w:val="00064D26"/>
    <w:rsid w:val="0006520C"/>
    <w:rsid w:val="00070FA8"/>
    <w:rsid w:val="00076762"/>
    <w:rsid w:val="00082512"/>
    <w:rsid w:val="0008339D"/>
    <w:rsid w:val="00084688"/>
    <w:rsid w:val="00084A12"/>
    <w:rsid w:val="00084AA4"/>
    <w:rsid w:val="000872E9"/>
    <w:rsid w:val="00091451"/>
    <w:rsid w:val="00092BE5"/>
    <w:rsid w:val="000A1313"/>
    <w:rsid w:val="000A3C5A"/>
    <w:rsid w:val="000A46FB"/>
    <w:rsid w:val="000B4F61"/>
    <w:rsid w:val="000C0C50"/>
    <w:rsid w:val="000C435B"/>
    <w:rsid w:val="000C77EB"/>
    <w:rsid w:val="000D6B76"/>
    <w:rsid w:val="000E53B7"/>
    <w:rsid w:val="000E7802"/>
    <w:rsid w:val="000F039C"/>
    <w:rsid w:val="000F0A57"/>
    <w:rsid w:val="000F36E4"/>
    <w:rsid w:val="00104C3B"/>
    <w:rsid w:val="00106DE7"/>
    <w:rsid w:val="00114BCE"/>
    <w:rsid w:val="00120FC3"/>
    <w:rsid w:val="00121A1E"/>
    <w:rsid w:val="00126F78"/>
    <w:rsid w:val="00127C25"/>
    <w:rsid w:val="0013481D"/>
    <w:rsid w:val="00150F52"/>
    <w:rsid w:val="0016361E"/>
    <w:rsid w:val="001869B3"/>
    <w:rsid w:val="0018760E"/>
    <w:rsid w:val="001A1182"/>
    <w:rsid w:val="001A42CB"/>
    <w:rsid w:val="001B369B"/>
    <w:rsid w:val="001B4E7A"/>
    <w:rsid w:val="001B6034"/>
    <w:rsid w:val="001B6FC8"/>
    <w:rsid w:val="001B734B"/>
    <w:rsid w:val="001C0BE0"/>
    <w:rsid w:val="001D0015"/>
    <w:rsid w:val="001D05E3"/>
    <w:rsid w:val="001D0EB8"/>
    <w:rsid w:val="001D160F"/>
    <w:rsid w:val="001E4C29"/>
    <w:rsid w:val="001F47D6"/>
    <w:rsid w:val="002065D3"/>
    <w:rsid w:val="00210D76"/>
    <w:rsid w:val="00217E85"/>
    <w:rsid w:val="0023065D"/>
    <w:rsid w:val="0024264A"/>
    <w:rsid w:val="002438E2"/>
    <w:rsid w:val="00243C1C"/>
    <w:rsid w:val="002532E8"/>
    <w:rsid w:val="0027060F"/>
    <w:rsid w:val="00271383"/>
    <w:rsid w:val="0027240C"/>
    <w:rsid w:val="00286F73"/>
    <w:rsid w:val="00293CEC"/>
    <w:rsid w:val="00295410"/>
    <w:rsid w:val="00295F62"/>
    <w:rsid w:val="00296B08"/>
    <w:rsid w:val="0029704C"/>
    <w:rsid w:val="002975B5"/>
    <w:rsid w:val="002A2AB3"/>
    <w:rsid w:val="002A45C0"/>
    <w:rsid w:val="002A7139"/>
    <w:rsid w:val="002B38BF"/>
    <w:rsid w:val="002C45FB"/>
    <w:rsid w:val="002C48AD"/>
    <w:rsid w:val="002C5C5E"/>
    <w:rsid w:val="002D3809"/>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C7AF7"/>
    <w:rsid w:val="003E56B2"/>
    <w:rsid w:val="003E5FF1"/>
    <w:rsid w:val="003F3973"/>
    <w:rsid w:val="003F49C4"/>
    <w:rsid w:val="00405A67"/>
    <w:rsid w:val="00407963"/>
    <w:rsid w:val="0041139F"/>
    <w:rsid w:val="0042257B"/>
    <w:rsid w:val="00422689"/>
    <w:rsid w:val="004316F4"/>
    <w:rsid w:val="00431B9A"/>
    <w:rsid w:val="00460154"/>
    <w:rsid w:val="00460408"/>
    <w:rsid w:val="00461A8E"/>
    <w:rsid w:val="00470147"/>
    <w:rsid w:val="0047135B"/>
    <w:rsid w:val="004770D2"/>
    <w:rsid w:val="00482378"/>
    <w:rsid w:val="0049234E"/>
    <w:rsid w:val="004B27C7"/>
    <w:rsid w:val="004B27E1"/>
    <w:rsid w:val="004C5A5B"/>
    <w:rsid w:val="004D0EC2"/>
    <w:rsid w:val="004D2ED9"/>
    <w:rsid w:val="004D534B"/>
    <w:rsid w:val="004E19CD"/>
    <w:rsid w:val="004E61BE"/>
    <w:rsid w:val="004F2D0C"/>
    <w:rsid w:val="00505423"/>
    <w:rsid w:val="0052576C"/>
    <w:rsid w:val="00530D71"/>
    <w:rsid w:val="0053128D"/>
    <w:rsid w:val="00536599"/>
    <w:rsid w:val="0054043A"/>
    <w:rsid w:val="005446A4"/>
    <w:rsid w:val="00545B7C"/>
    <w:rsid w:val="005462ED"/>
    <w:rsid w:val="00552BFB"/>
    <w:rsid w:val="005702F7"/>
    <w:rsid w:val="00585951"/>
    <w:rsid w:val="00586E64"/>
    <w:rsid w:val="00590396"/>
    <w:rsid w:val="005A1697"/>
    <w:rsid w:val="005A232C"/>
    <w:rsid w:val="005B0CC7"/>
    <w:rsid w:val="005B50D2"/>
    <w:rsid w:val="005C586C"/>
    <w:rsid w:val="005D05B4"/>
    <w:rsid w:val="005D18F5"/>
    <w:rsid w:val="005D5730"/>
    <w:rsid w:val="005E45C5"/>
    <w:rsid w:val="005F0538"/>
    <w:rsid w:val="005F512A"/>
    <w:rsid w:val="00603694"/>
    <w:rsid w:val="00604616"/>
    <w:rsid w:val="006046AF"/>
    <w:rsid w:val="00607891"/>
    <w:rsid w:val="00612366"/>
    <w:rsid w:val="00617231"/>
    <w:rsid w:val="00622FE7"/>
    <w:rsid w:val="006276CE"/>
    <w:rsid w:val="00627BAC"/>
    <w:rsid w:val="006325F9"/>
    <w:rsid w:val="00633DB7"/>
    <w:rsid w:val="00640A50"/>
    <w:rsid w:val="00640D42"/>
    <w:rsid w:val="00661880"/>
    <w:rsid w:val="00667FEC"/>
    <w:rsid w:val="006864C5"/>
    <w:rsid w:val="006976DB"/>
    <w:rsid w:val="006B26CE"/>
    <w:rsid w:val="006D3CBB"/>
    <w:rsid w:val="006E1A45"/>
    <w:rsid w:val="006F1796"/>
    <w:rsid w:val="006F1CED"/>
    <w:rsid w:val="00700245"/>
    <w:rsid w:val="00721D57"/>
    <w:rsid w:val="0072574F"/>
    <w:rsid w:val="00730D02"/>
    <w:rsid w:val="007346B1"/>
    <w:rsid w:val="00734872"/>
    <w:rsid w:val="00736660"/>
    <w:rsid w:val="007509CF"/>
    <w:rsid w:val="007540D6"/>
    <w:rsid w:val="00760E93"/>
    <w:rsid w:val="00763D1C"/>
    <w:rsid w:val="00764BF7"/>
    <w:rsid w:val="007816E1"/>
    <w:rsid w:val="00782782"/>
    <w:rsid w:val="00782D70"/>
    <w:rsid w:val="00797A24"/>
    <w:rsid w:val="007B324E"/>
    <w:rsid w:val="007C5BFB"/>
    <w:rsid w:val="007D1DA7"/>
    <w:rsid w:val="007D46CF"/>
    <w:rsid w:val="007F52CD"/>
    <w:rsid w:val="008106E9"/>
    <w:rsid w:val="00811130"/>
    <w:rsid w:val="008142C8"/>
    <w:rsid w:val="00833A37"/>
    <w:rsid w:val="008362B2"/>
    <w:rsid w:val="00840CBC"/>
    <w:rsid w:val="00860A37"/>
    <w:rsid w:val="0086624C"/>
    <w:rsid w:val="00870772"/>
    <w:rsid w:val="008756A3"/>
    <w:rsid w:val="00875924"/>
    <w:rsid w:val="00884520"/>
    <w:rsid w:val="008943C9"/>
    <w:rsid w:val="00894445"/>
    <w:rsid w:val="008A6BEE"/>
    <w:rsid w:val="008B4AEA"/>
    <w:rsid w:val="008B4C1A"/>
    <w:rsid w:val="008C3A62"/>
    <w:rsid w:val="008D0D18"/>
    <w:rsid w:val="008D5428"/>
    <w:rsid w:val="008D6A14"/>
    <w:rsid w:val="008E5033"/>
    <w:rsid w:val="008E5B1D"/>
    <w:rsid w:val="008F3D43"/>
    <w:rsid w:val="009022B9"/>
    <w:rsid w:val="00905666"/>
    <w:rsid w:val="0090674D"/>
    <w:rsid w:val="00920E37"/>
    <w:rsid w:val="009228B6"/>
    <w:rsid w:val="009506DD"/>
    <w:rsid w:val="00955621"/>
    <w:rsid w:val="00955C33"/>
    <w:rsid w:val="0095701E"/>
    <w:rsid w:val="009610DC"/>
    <w:rsid w:val="00962DA6"/>
    <w:rsid w:val="009714B7"/>
    <w:rsid w:val="009730BB"/>
    <w:rsid w:val="00980D02"/>
    <w:rsid w:val="0098499E"/>
    <w:rsid w:val="00990DC1"/>
    <w:rsid w:val="00990EE7"/>
    <w:rsid w:val="00994870"/>
    <w:rsid w:val="00997895"/>
    <w:rsid w:val="009A03D3"/>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2EC6"/>
    <w:rsid w:val="00A0555F"/>
    <w:rsid w:val="00A07FE9"/>
    <w:rsid w:val="00A12D5B"/>
    <w:rsid w:val="00A14B43"/>
    <w:rsid w:val="00A20006"/>
    <w:rsid w:val="00A236D8"/>
    <w:rsid w:val="00A361D3"/>
    <w:rsid w:val="00A44767"/>
    <w:rsid w:val="00A53595"/>
    <w:rsid w:val="00A57132"/>
    <w:rsid w:val="00A57966"/>
    <w:rsid w:val="00A6144F"/>
    <w:rsid w:val="00A621D5"/>
    <w:rsid w:val="00A67E93"/>
    <w:rsid w:val="00A70333"/>
    <w:rsid w:val="00A70C02"/>
    <w:rsid w:val="00A71943"/>
    <w:rsid w:val="00A8347B"/>
    <w:rsid w:val="00A90D11"/>
    <w:rsid w:val="00A96833"/>
    <w:rsid w:val="00AA2750"/>
    <w:rsid w:val="00AA63E7"/>
    <w:rsid w:val="00AD480A"/>
    <w:rsid w:val="00AD510D"/>
    <w:rsid w:val="00AD5B78"/>
    <w:rsid w:val="00AE26E6"/>
    <w:rsid w:val="00B03466"/>
    <w:rsid w:val="00B05D1F"/>
    <w:rsid w:val="00B11E24"/>
    <w:rsid w:val="00B26A0E"/>
    <w:rsid w:val="00B30103"/>
    <w:rsid w:val="00B4455E"/>
    <w:rsid w:val="00B4563D"/>
    <w:rsid w:val="00B5151F"/>
    <w:rsid w:val="00B51CE1"/>
    <w:rsid w:val="00B602F5"/>
    <w:rsid w:val="00B72744"/>
    <w:rsid w:val="00B776AA"/>
    <w:rsid w:val="00B9465B"/>
    <w:rsid w:val="00B957A2"/>
    <w:rsid w:val="00BA2AE7"/>
    <w:rsid w:val="00BB5EB9"/>
    <w:rsid w:val="00BC1EA7"/>
    <w:rsid w:val="00BD0492"/>
    <w:rsid w:val="00BD12DC"/>
    <w:rsid w:val="00BE1084"/>
    <w:rsid w:val="00BE2CE2"/>
    <w:rsid w:val="00BE5B50"/>
    <w:rsid w:val="00C27306"/>
    <w:rsid w:val="00C317B9"/>
    <w:rsid w:val="00C324CE"/>
    <w:rsid w:val="00C50B12"/>
    <w:rsid w:val="00C5241C"/>
    <w:rsid w:val="00C52AE7"/>
    <w:rsid w:val="00C55F2B"/>
    <w:rsid w:val="00C57EB8"/>
    <w:rsid w:val="00C61B18"/>
    <w:rsid w:val="00C63256"/>
    <w:rsid w:val="00C63DF0"/>
    <w:rsid w:val="00C6692D"/>
    <w:rsid w:val="00C702FD"/>
    <w:rsid w:val="00C72FB4"/>
    <w:rsid w:val="00C80C97"/>
    <w:rsid w:val="00C81A2B"/>
    <w:rsid w:val="00C83296"/>
    <w:rsid w:val="00C84928"/>
    <w:rsid w:val="00C8719B"/>
    <w:rsid w:val="00C87579"/>
    <w:rsid w:val="00C875B3"/>
    <w:rsid w:val="00C93B74"/>
    <w:rsid w:val="00C9519D"/>
    <w:rsid w:val="00C97AB0"/>
    <w:rsid w:val="00CA1EED"/>
    <w:rsid w:val="00CA3B1F"/>
    <w:rsid w:val="00CB29C7"/>
    <w:rsid w:val="00CC3783"/>
    <w:rsid w:val="00CC3FFD"/>
    <w:rsid w:val="00CC500C"/>
    <w:rsid w:val="00CD2DDF"/>
    <w:rsid w:val="00CE131F"/>
    <w:rsid w:val="00CE2068"/>
    <w:rsid w:val="00CE6151"/>
    <w:rsid w:val="00CE7D32"/>
    <w:rsid w:val="00CF0450"/>
    <w:rsid w:val="00CF1ACD"/>
    <w:rsid w:val="00CF6900"/>
    <w:rsid w:val="00CF78BC"/>
    <w:rsid w:val="00CF7A5D"/>
    <w:rsid w:val="00D1410E"/>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211F"/>
    <w:rsid w:val="00DB4E79"/>
    <w:rsid w:val="00DB6819"/>
    <w:rsid w:val="00DB6DB0"/>
    <w:rsid w:val="00DC38BC"/>
    <w:rsid w:val="00DC4F13"/>
    <w:rsid w:val="00DE1B2D"/>
    <w:rsid w:val="00DE3034"/>
    <w:rsid w:val="00DE69FF"/>
    <w:rsid w:val="00DE6D84"/>
    <w:rsid w:val="00DF2829"/>
    <w:rsid w:val="00E0646A"/>
    <w:rsid w:val="00E2126A"/>
    <w:rsid w:val="00E221CE"/>
    <w:rsid w:val="00E24CBC"/>
    <w:rsid w:val="00E35FFE"/>
    <w:rsid w:val="00E47F42"/>
    <w:rsid w:val="00E51B12"/>
    <w:rsid w:val="00E53352"/>
    <w:rsid w:val="00E6043D"/>
    <w:rsid w:val="00E664E7"/>
    <w:rsid w:val="00E8344B"/>
    <w:rsid w:val="00EC2F27"/>
    <w:rsid w:val="00EC5780"/>
    <w:rsid w:val="00EE479D"/>
    <w:rsid w:val="00EF058F"/>
    <w:rsid w:val="00F22488"/>
    <w:rsid w:val="00F35E54"/>
    <w:rsid w:val="00F447A7"/>
    <w:rsid w:val="00F45AEF"/>
    <w:rsid w:val="00F524DE"/>
    <w:rsid w:val="00F6051E"/>
    <w:rsid w:val="00F65A95"/>
    <w:rsid w:val="00F673BE"/>
    <w:rsid w:val="00F742DF"/>
    <w:rsid w:val="00F76FA6"/>
    <w:rsid w:val="00F81775"/>
    <w:rsid w:val="00F818ED"/>
    <w:rsid w:val="00F82E01"/>
    <w:rsid w:val="00F82E52"/>
    <w:rsid w:val="00F91E73"/>
    <w:rsid w:val="00F93493"/>
    <w:rsid w:val="00F93D1E"/>
    <w:rsid w:val="00F96BEB"/>
    <w:rsid w:val="00FA35C2"/>
    <w:rsid w:val="00FB37D0"/>
    <w:rsid w:val="00FC6CDD"/>
    <w:rsid w:val="00FC704E"/>
    <w:rsid w:val="00FC77F3"/>
    <w:rsid w:val="00FD4627"/>
    <w:rsid w:val="00FD5888"/>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9308A3C6-867E-41F3-A96F-7C8896FA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07820357">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1171917322">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5178187">
              <w:marLeft w:val="0"/>
              <w:marRight w:val="0"/>
              <w:marTop w:val="0"/>
              <w:marBottom w:val="0"/>
              <w:divBdr>
                <w:top w:val="none" w:sz="0" w:space="0" w:color="auto"/>
                <w:left w:val="none" w:sz="0" w:space="0" w:color="auto"/>
                <w:bottom w:val="none" w:sz="0" w:space="0" w:color="auto"/>
                <w:right w:val="none" w:sz="0" w:space="0" w:color="auto"/>
              </w:divBdr>
            </w:div>
            <w:div w:id="76220992">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306711953">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1598563065">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11614381">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420024805">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72228947">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05922078">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78716986">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649944230">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fw.wales/help-and-contact/rail/delay-repay?gad_source=1&amp;gad_campaignid=23508321503&amp;gclid=EAIaIQobChMIxo_agqLMkgMVI4lQBh1wtyC1EAAYASAAEgKeaP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ED8BF929-8AC1-440A-9124-7D0343F0BB2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107</TotalTime>
  <Pages>3</Pages>
  <Words>396</Words>
  <Characters>2293</Characters>
  <Application>Microsoft Office Word</Application>
  <DocSecurity>0</DocSecurity>
  <Lines>185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Links>
    <vt:vector size="18" baseType="variant">
      <vt:variant>
        <vt:i4>458822</vt:i4>
      </vt:variant>
      <vt:variant>
        <vt:i4>0</vt:i4>
      </vt:variant>
      <vt:variant>
        <vt:i4>0</vt:i4>
      </vt:variant>
      <vt:variant>
        <vt:i4>5</vt:i4>
      </vt:variant>
      <vt:variant>
        <vt:lpwstr>https://tfw.wales/help-and-contact/rail/delay-repay?gad_source=1&amp;gad_campaignid=23508321503&amp;gclid=EAIaIQobChMIxo_agqLMkgMVI4lQBh1wtyC1EAAYASAAEgKeaPD_BwE</vt:lpwstr>
      </vt:variant>
      <vt:variant>
        <vt:lpwstr/>
      </vt:variant>
      <vt:variant>
        <vt:i4>5373966</vt:i4>
      </vt:variant>
      <vt:variant>
        <vt:i4>3</vt:i4>
      </vt:variant>
      <vt:variant>
        <vt:i4>0</vt:i4>
      </vt:variant>
      <vt:variant>
        <vt:i4>5</vt:i4>
      </vt:variant>
      <vt:variant>
        <vt:lpwstr>https://ico.org.uk/make-a-complaint/</vt:lpwstr>
      </vt:variant>
      <vt:variant>
        <vt:lpwstr/>
      </vt:variant>
      <vt:variant>
        <vt:i4>7667806</vt:i4>
      </vt:variant>
      <vt:variant>
        <vt:i4>0</vt:i4>
      </vt:variant>
      <vt:variant>
        <vt:i4>0</vt:i4>
      </vt:variant>
      <vt:variant>
        <vt:i4>5</vt:i4>
      </vt:variant>
      <vt:variant>
        <vt:lpwstr>mailto:freedomofinformation@tfw.wales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Bronwyn Lillico (Corporate Governance)</cp:lastModifiedBy>
  <cp:revision>54</cp:revision>
  <dcterms:created xsi:type="dcterms:W3CDTF">2026-01-22T22:21:00Z</dcterms:created>
  <dcterms:modified xsi:type="dcterms:W3CDTF">2026-02-11T13:39:00Z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